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A783C" w14:textId="77777777" w:rsidR="00685DC5" w:rsidRDefault="00685DC5" w:rsidP="00685DC5">
      <w:pPr>
        <w:tabs>
          <w:tab w:val="left" w:pos="-1134"/>
          <w:tab w:val="left" w:pos="-564"/>
          <w:tab w:val="left" w:pos="1"/>
          <w:tab w:val="left" w:pos="564"/>
          <w:tab w:val="left" w:pos="1128"/>
          <w:tab w:val="left" w:pos="1698"/>
          <w:tab w:val="left" w:pos="2262"/>
          <w:tab w:val="left" w:pos="2826"/>
          <w:tab w:val="left" w:pos="3960"/>
          <w:tab w:val="left" w:pos="4530"/>
          <w:tab w:val="left" w:pos="5094"/>
          <w:tab w:val="left" w:pos="5658"/>
          <w:tab w:val="left" w:pos="6228"/>
          <w:tab w:val="left" w:pos="6792"/>
          <w:tab w:val="left" w:pos="7362"/>
          <w:tab w:val="left" w:pos="7926"/>
          <w:tab w:val="left" w:pos="8490"/>
          <w:tab w:val="left" w:pos="9060"/>
          <w:tab w:val="left" w:pos="9624"/>
          <w:tab w:val="left" w:pos="10194"/>
          <w:tab w:val="left" w:pos="10758"/>
          <w:tab w:val="left" w:pos="11322"/>
          <w:tab w:val="left" w:pos="11892"/>
          <w:tab w:val="left" w:pos="12456"/>
          <w:tab w:val="left" w:pos="13026"/>
          <w:tab w:val="left" w:pos="13590"/>
          <w:tab w:val="left" w:pos="14154"/>
          <w:tab w:val="left" w:pos="14724"/>
          <w:tab w:val="left" w:pos="15288"/>
          <w:tab w:val="left" w:pos="15858"/>
          <w:tab w:val="left" w:pos="16422"/>
          <w:tab w:val="left" w:pos="16986"/>
          <w:tab w:val="left" w:pos="17556"/>
          <w:tab w:val="left" w:pos="18120"/>
          <w:tab w:val="left" w:pos="18690"/>
          <w:tab w:val="left" w:pos="19254"/>
          <w:tab w:val="left" w:pos="19818"/>
          <w:tab w:val="left" w:pos="20388"/>
          <w:tab w:val="left" w:pos="20952"/>
        </w:tabs>
        <w:jc w:val="center"/>
      </w:pPr>
      <w:r>
        <w:rPr>
          <w:noProof/>
        </w:rPr>
        <w:drawing>
          <wp:inline distT="0" distB="0" distL="0" distR="0" wp14:anchorId="07350E36" wp14:editId="196ED495">
            <wp:extent cx="828675" cy="933450"/>
            <wp:effectExtent l="0" t="0" r="0" b="0"/>
            <wp:docPr id="593022538" name="Immagin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22538" name="Immagine 3"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03035FE8" w14:textId="77777777" w:rsidR="00685DC5" w:rsidRPr="00725665" w:rsidRDefault="00685DC5" w:rsidP="00685DC5">
      <w:pPr>
        <w:pStyle w:val="NormalWeb"/>
        <w:shd w:val="clear" w:color="auto" w:fill="FFFFFF"/>
        <w:spacing w:before="120" w:beforeAutospacing="0" w:after="0" w:afterAutospacing="0"/>
        <w:jc w:val="center"/>
        <w:rPr>
          <w:rFonts w:ascii="Arial" w:hAnsi="Arial" w:cs="Arial"/>
          <w:color w:val="222222"/>
          <w:sz w:val="120"/>
          <w:szCs w:val="120"/>
        </w:rPr>
      </w:pPr>
      <w:r w:rsidRPr="00725665">
        <w:rPr>
          <w:rFonts w:ascii="Palace Script MT" w:hAnsi="Palace Script MT" w:cs="Arial"/>
          <w:color w:val="222222"/>
          <w:spacing w:val="30"/>
          <w:sz w:val="120"/>
          <w:szCs w:val="120"/>
        </w:rPr>
        <w:t>Ministero della Giustizia</w:t>
      </w:r>
    </w:p>
    <w:p w14:paraId="664B7D99" w14:textId="77777777" w:rsidR="00671554" w:rsidRDefault="00671554" w:rsidP="5C8F7190">
      <w:pPr>
        <w:widowControl/>
        <w:jc w:val="center"/>
        <w:rPr>
          <w:rStyle w:val="normaltextrun"/>
          <w:rFonts w:ascii="Palace Script MT" w:hAnsi="Palace Script MT"/>
          <w:color w:val="222222"/>
          <w:sz w:val="43"/>
          <w:szCs w:val="43"/>
          <w:shd w:val="clear" w:color="auto" w:fill="FFFFFF"/>
        </w:rPr>
      </w:pPr>
      <w:r>
        <w:rPr>
          <w:rStyle w:val="normaltextrun"/>
          <w:rFonts w:ascii="Palace Script MT" w:hAnsi="Palace Script MT"/>
          <w:color w:val="222222"/>
          <w:sz w:val="43"/>
          <w:szCs w:val="43"/>
          <w:shd w:val="clear" w:color="auto" w:fill="FFFFFF"/>
        </w:rPr>
        <w:t>Dipartimento per l’innovazione tecnologica della giustizia</w:t>
      </w:r>
    </w:p>
    <w:p w14:paraId="1D42D3EF" w14:textId="029697D5" w:rsidR="0D0CF669" w:rsidRDefault="0D0CF669" w:rsidP="5C8F7190">
      <w:pPr>
        <w:widowControl/>
        <w:jc w:val="center"/>
        <w:rPr>
          <w:rFonts w:ascii="Palace Script MT" w:eastAsia="Palace Script MT" w:hAnsi="Palace Script MT" w:cs="Palace Script MT"/>
          <w:color w:val="222222"/>
          <w:sz w:val="43"/>
          <w:szCs w:val="43"/>
        </w:rPr>
      </w:pPr>
      <w:r w:rsidRPr="00F8194A">
        <w:rPr>
          <w:rStyle w:val="normaltextrun"/>
          <w:rFonts w:ascii="Palace Script MT" w:eastAsia="Palace Script MT" w:hAnsi="Palace Script MT" w:cs="Palace Script MT"/>
          <w:color w:val="222222"/>
          <w:sz w:val="43"/>
          <w:szCs w:val="43"/>
        </w:rPr>
        <w:t>Direzione generale per i Sistemi Informativi Automatizzati </w:t>
      </w:r>
    </w:p>
    <w:p w14:paraId="3650B3FD" w14:textId="54D503CF" w:rsidR="5C8F7190" w:rsidRDefault="5C8F7190" w:rsidP="5C8F7190">
      <w:pPr>
        <w:jc w:val="center"/>
        <w:rPr>
          <w:rFonts w:ascii="Palace Script MT" w:hAnsi="Palace Script MT" w:cs="Arial"/>
          <w:color w:val="222222"/>
          <w:sz w:val="48"/>
          <w:szCs w:val="48"/>
          <w:lang w:eastAsia="it-IT"/>
        </w:rPr>
      </w:pPr>
    </w:p>
    <w:p w14:paraId="0AD7D1F4" w14:textId="149E3CBC" w:rsidR="00454C0E" w:rsidRDefault="00454C0E" w:rsidP="00660B36">
      <w:pPr>
        <w:jc w:val="center"/>
      </w:pPr>
    </w:p>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7F975D3C" w:rsidR="00F168F4" w:rsidRDefault="00B75CA7" w:rsidP="00753F3F">
      <w:pPr>
        <w:tabs>
          <w:tab w:val="left" w:pos="3214"/>
        </w:tabs>
        <w:jc w:val="center"/>
        <w:rPr>
          <w:color w:val="000000" w:themeColor="text1"/>
          <w:sz w:val="36"/>
          <w:szCs w:val="36"/>
        </w:rPr>
      </w:pPr>
      <w:r>
        <w:rPr>
          <w:i/>
          <w:iCs/>
          <w:color w:val="000000" w:themeColor="text1"/>
          <w:sz w:val="36"/>
          <w:szCs w:val="36"/>
        </w:rPr>
        <w:t>A</w:t>
      </w:r>
      <w:r w:rsidRPr="00B75CA7">
        <w:rPr>
          <w:i/>
          <w:iCs/>
          <w:color w:val="000000" w:themeColor="text1"/>
          <w:sz w:val="36"/>
          <w:szCs w:val="36"/>
        </w:rPr>
        <w:t>desione AQ - SAC lotto 1</w:t>
      </w:r>
      <w:r>
        <w:rPr>
          <w:i/>
          <w:iCs/>
          <w:color w:val="000000" w:themeColor="text1"/>
          <w:sz w:val="36"/>
          <w:szCs w:val="36"/>
        </w:rPr>
        <w:t xml:space="preserve"> </w:t>
      </w:r>
      <w:r w:rsidRPr="00B75CA7">
        <w:rPr>
          <w:i/>
          <w:iCs/>
          <w:color w:val="000000" w:themeColor="text1"/>
          <w:sz w:val="36"/>
          <w:szCs w:val="36"/>
        </w:rPr>
        <w:t>-</w:t>
      </w:r>
      <w:r>
        <w:rPr>
          <w:i/>
          <w:iCs/>
          <w:color w:val="000000" w:themeColor="text1"/>
          <w:sz w:val="36"/>
          <w:szCs w:val="36"/>
        </w:rPr>
        <w:t xml:space="preserve"> </w:t>
      </w:r>
      <w:r w:rsidRPr="00B75CA7">
        <w:rPr>
          <w:i/>
          <w:iCs/>
          <w:color w:val="000000" w:themeColor="text1"/>
          <w:sz w:val="36"/>
          <w:szCs w:val="36"/>
        </w:rPr>
        <w:t>(</w:t>
      </w:r>
      <w:proofErr w:type="spellStart"/>
      <w:r w:rsidRPr="00B75CA7">
        <w:rPr>
          <w:i/>
          <w:iCs/>
          <w:color w:val="000000" w:themeColor="text1"/>
          <w:sz w:val="36"/>
          <w:szCs w:val="36"/>
        </w:rPr>
        <w:t>tmmg</w:t>
      </w:r>
      <w:proofErr w:type="spellEnd"/>
      <w:r w:rsidRPr="00B75CA7">
        <w:rPr>
          <w:i/>
          <w:iCs/>
          <w:color w:val="000000" w:themeColor="text1"/>
          <w:sz w:val="36"/>
          <w:szCs w:val="36"/>
        </w:rPr>
        <w:t xml:space="preserve"> - fascicolo personale) SIA.116.6.A.EV.S.02/</w:t>
      </w:r>
      <w:proofErr w:type="gramStart"/>
      <w:r w:rsidRPr="00B75CA7">
        <w:rPr>
          <w:i/>
          <w:iCs/>
          <w:color w:val="000000" w:themeColor="text1"/>
          <w:sz w:val="36"/>
          <w:szCs w:val="36"/>
        </w:rPr>
        <w:t>22.P</w:t>
      </w:r>
      <w:proofErr w:type="gramEnd"/>
      <w:r>
        <w:rPr>
          <w:i/>
          <w:iCs/>
          <w:color w:val="000000" w:themeColor="text1"/>
          <w:sz w:val="36"/>
          <w:szCs w:val="36"/>
        </w:rPr>
        <w:t xml:space="preserve"> </w:t>
      </w:r>
      <w:r w:rsidR="00753F3F">
        <w:rPr>
          <w:i/>
          <w:iCs/>
          <w:color w:val="000000" w:themeColor="text1"/>
          <w:sz w:val="36"/>
          <w:szCs w:val="36"/>
        </w:rPr>
        <w:t>– CIG:</w:t>
      </w:r>
      <w:r w:rsidR="00753F3F" w:rsidRPr="00753F3F">
        <w:t xml:space="preserve"> </w:t>
      </w:r>
      <w:r w:rsidRPr="00B75CA7">
        <w:rPr>
          <w:i/>
          <w:iCs/>
          <w:color w:val="000000" w:themeColor="text1"/>
          <w:sz w:val="36"/>
          <w:szCs w:val="36"/>
        </w:rPr>
        <w:t>8989721872</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C565DC" w:rsidRDefault="00044919">
          <w:pPr>
            <w:pStyle w:val="TOCHeading"/>
            <w:rPr>
              <w:rFonts w:ascii="Times New Roman" w:hAnsi="Times New Roman" w:cs="Times New Roman"/>
              <w:b/>
              <w:bCs/>
              <w:color w:val="auto"/>
              <w:lang w:val="it-IT"/>
            </w:rPr>
          </w:pPr>
          <w:r w:rsidRPr="00C565DC">
            <w:rPr>
              <w:rFonts w:ascii="Times New Roman" w:hAnsi="Times New Roman" w:cs="Times New Roman"/>
              <w:b/>
              <w:bCs/>
              <w:color w:val="auto"/>
              <w:lang w:val="it-IT"/>
            </w:rPr>
            <w:t>Sommario</w:t>
          </w:r>
        </w:p>
        <w:p w14:paraId="2AD60A3F" w14:textId="77777777" w:rsidR="00044919" w:rsidRPr="005906E3" w:rsidRDefault="00044919" w:rsidP="00044919">
          <w:pPr>
            <w:rPr>
              <w:sz w:val="24"/>
              <w:szCs w:val="24"/>
            </w:rPr>
          </w:pPr>
        </w:p>
        <w:p w14:paraId="4078A2EF" w14:textId="5B52E636" w:rsidR="00F8194A" w:rsidRDefault="00044919">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r w:rsidRPr="00F041B2">
            <w:rPr>
              <w:sz w:val="24"/>
              <w:szCs w:val="24"/>
            </w:rPr>
            <w:fldChar w:fldCharType="begin"/>
          </w:r>
          <w:r w:rsidRPr="00F041B2">
            <w:rPr>
              <w:sz w:val="24"/>
              <w:szCs w:val="24"/>
            </w:rPr>
            <w:instrText xml:space="preserve"> TOC \o "1-3" \h \z \u </w:instrText>
          </w:r>
          <w:r w:rsidRPr="00F041B2">
            <w:rPr>
              <w:sz w:val="24"/>
              <w:szCs w:val="24"/>
            </w:rPr>
            <w:fldChar w:fldCharType="separate"/>
          </w:r>
          <w:hyperlink w:anchor="_Toc161308484" w:history="1">
            <w:r w:rsidR="00F8194A" w:rsidRPr="00B3277A">
              <w:rPr>
                <w:rStyle w:val="Hyperlink"/>
                <w:rFonts w:eastAsiaTheme="majorEastAsia"/>
                <w:noProof/>
              </w:rPr>
              <w:t>1</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DATI</w:t>
            </w:r>
            <w:r w:rsidR="00F8194A" w:rsidRPr="00B3277A">
              <w:rPr>
                <w:rStyle w:val="Hyperlink"/>
                <w:rFonts w:eastAsiaTheme="majorEastAsia"/>
                <w:noProof/>
                <w:spacing w:val="-4"/>
              </w:rPr>
              <w:t xml:space="preserve"> </w:t>
            </w:r>
            <w:r w:rsidR="00F8194A" w:rsidRPr="00B3277A">
              <w:rPr>
                <w:rStyle w:val="Hyperlink"/>
                <w:rFonts w:eastAsiaTheme="majorEastAsia"/>
                <w:noProof/>
              </w:rPr>
              <w:t>IDENTIFICATIVI</w:t>
            </w:r>
            <w:r w:rsidR="00F8194A" w:rsidRPr="00B3277A">
              <w:rPr>
                <w:rStyle w:val="Hyperlink"/>
                <w:rFonts w:eastAsiaTheme="majorEastAsia"/>
                <w:noProof/>
                <w:spacing w:val="-5"/>
              </w:rPr>
              <w:t xml:space="preserve"> </w:t>
            </w:r>
            <w:r w:rsidR="00F8194A" w:rsidRPr="00B3277A">
              <w:rPr>
                <w:rStyle w:val="Hyperlink"/>
                <w:rFonts w:eastAsiaTheme="majorEastAsia"/>
                <w:noProof/>
              </w:rPr>
              <w:t>DEL</w:t>
            </w:r>
            <w:r w:rsidR="00F8194A" w:rsidRPr="00B3277A">
              <w:rPr>
                <w:rStyle w:val="Hyperlink"/>
                <w:rFonts w:eastAsiaTheme="majorEastAsia"/>
                <w:noProof/>
                <w:spacing w:val="-4"/>
              </w:rPr>
              <w:t xml:space="preserve"> </w:t>
            </w:r>
            <w:r w:rsidR="00F8194A" w:rsidRPr="00B3277A">
              <w:rPr>
                <w:rStyle w:val="Hyperlink"/>
                <w:rFonts w:eastAsiaTheme="majorEastAsia"/>
                <w:noProof/>
              </w:rPr>
              <w:t>CONTRATTO</w:t>
            </w:r>
            <w:r w:rsidR="00F8194A">
              <w:rPr>
                <w:noProof/>
                <w:webHidden/>
              </w:rPr>
              <w:tab/>
            </w:r>
            <w:r w:rsidR="00F8194A">
              <w:rPr>
                <w:noProof/>
                <w:webHidden/>
              </w:rPr>
              <w:fldChar w:fldCharType="begin"/>
            </w:r>
            <w:r w:rsidR="00F8194A">
              <w:rPr>
                <w:noProof/>
                <w:webHidden/>
              </w:rPr>
              <w:instrText xml:space="preserve"> PAGEREF _Toc161308484 \h </w:instrText>
            </w:r>
            <w:r w:rsidR="00F8194A">
              <w:rPr>
                <w:noProof/>
                <w:webHidden/>
              </w:rPr>
            </w:r>
            <w:r w:rsidR="00F8194A">
              <w:rPr>
                <w:noProof/>
                <w:webHidden/>
              </w:rPr>
              <w:fldChar w:fldCharType="separate"/>
            </w:r>
            <w:r w:rsidR="00F8194A">
              <w:rPr>
                <w:noProof/>
                <w:webHidden/>
              </w:rPr>
              <w:t>3</w:t>
            </w:r>
            <w:r w:rsidR="00F8194A">
              <w:rPr>
                <w:noProof/>
                <w:webHidden/>
              </w:rPr>
              <w:fldChar w:fldCharType="end"/>
            </w:r>
          </w:hyperlink>
        </w:p>
        <w:p w14:paraId="6F0F851C" w14:textId="2A925A4B" w:rsidR="00F8194A" w:rsidRDefault="0013296B">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8485" w:history="1">
            <w:r w:rsidR="00F8194A" w:rsidRPr="00B3277A">
              <w:rPr>
                <w:rStyle w:val="Hyperlink"/>
                <w:rFonts w:eastAsiaTheme="majorEastAsia"/>
                <w:noProof/>
              </w:rPr>
              <w:t>2</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INTRODUZIONE</w:t>
            </w:r>
            <w:r w:rsidR="00F8194A">
              <w:rPr>
                <w:noProof/>
                <w:webHidden/>
              </w:rPr>
              <w:tab/>
            </w:r>
            <w:r w:rsidR="00F8194A">
              <w:rPr>
                <w:noProof/>
                <w:webHidden/>
              </w:rPr>
              <w:fldChar w:fldCharType="begin"/>
            </w:r>
            <w:r w:rsidR="00F8194A">
              <w:rPr>
                <w:noProof/>
                <w:webHidden/>
              </w:rPr>
              <w:instrText xml:space="preserve"> PAGEREF _Toc161308485 \h </w:instrText>
            </w:r>
            <w:r w:rsidR="00F8194A">
              <w:rPr>
                <w:noProof/>
                <w:webHidden/>
              </w:rPr>
            </w:r>
            <w:r w:rsidR="00F8194A">
              <w:rPr>
                <w:noProof/>
                <w:webHidden/>
              </w:rPr>
              <w:fldChar w:fldCharType="separate"/>
            </w:r>
            <w:r w:rsidR="00F8194A">
              <w:rPr>
                <w:noProof/>
                <w:webHidden/>
              </w:rPr>
              <w:t>4</w:t>
            </w:r>
            <w:r w:rsidR="00F8194A">
              <w:rPr>
                <w:noProof/>
                <w:webHidden/>
              </w:rPr>
              <w:fldChar w:fldCharType="end"/>
            </w:r>
          </w:hyperlink>
        </w:p>
        <w:p w14:paraId="41727EA7" w14:textId="4A42BFD3" w:rsidR="00F8194A" w:rsidRDefault="0013296B">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8486" w:history="1">
            <w:r w:rsidR="00F8194A" w:rsidRPr="00B3277A">
              <w:rPr>
                <w:rStyle w:val="Hyperlink"/>
                <w:rFonts w:eastAsiaTheme="majorEastAsia"/>
                <w:noProof/>
              </w:rPr>
              <w:t>2.1</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BREVE</w:t>
            </w:r>
            <w:r w:rsidR="00F8194A" w:rsidRPr="00B3277A">
              <w:rPr>
                <w:rStyle w:val="Hyperlink"/>
                <w:rFonts w:eastAsiaTheme="majorEastAsia"/>
                <w:noProof/>
                <w:spacing w:val="-4"/>
              </w:rPr>
              <w:t xml:space="preserve"> </w:t>
            </w:r>
            <w:r w:rsidR="00F8194A" w:rsidRPr="00B3277A">
              <w:rPr>
                <w:rStyle w:val="Hyperlink"/>
                <w:rFonts w:eastAsiaTheme="majorEastAsia"/>
                <w:noProof/>
              </w:rPr>
              <w:t>DESCRIZIONE</w:t>
            </w:r>
            <w:r w:rsidR="00F8194A" w:rsidRPr="00B3277A">
              <w:rPr>
                <w:rStyle w:val="Hyperlink"/>
                <w:rFonts w:eastAsiaTheme="majorEastAsia"/>
                <w:noProof/>
                <w:spacing w:val="-3"/>
              </w:rPr>
              <w:t xml:space="preserve"> </w:t>
            </w:r>
            <w:r w:rsidR="00F8194A" w:rsidRPr="00B3277A">
              <w:rPr>
                <w:rStyle w:val="Hyperlink"/>
                <w:rFonts w:eastAsiaTheme="majorEastAsia"/>
                <w:noProof/>
              </w:rPr>
              <w:t>DEL</w:t>
            </w:r>
            <w:r w:rsidR="00F8194A" w:rsidRPr="00B3277A">
              <w:rPr>
                <w:rStyle w:val="Hyperlink"/>
                <w:rFonts w:eastAsiaTheme="majorEastAsia"/>
                <w:noProof/>
                <w:spacing w:val="-5"/>
              </w:rPr>
              <w:t xml:space="preserve"> </w:t>
            </w:r>
            <w:r w:rsidR="00F8194A" w:rsidRPr="00B3277A">
              <w:rPr>
                <w:rStyle w:val="Hyperlink"/>
                <w:rFonts w:eastAsiaTheme="majorEastAsia"/>
                <w:noProof/>
              </w:rPr>
              <w:t>CONTRATTO</w:t>
            </w:r>
            <w:r w:rsidR="00F8194A" w:rsidRPr="00B3277A">
              <w:rPr>
                <w:rStyle w:val="Hyperlink"/>
                <w:rFonts w:eastAsiaTheme="majorEastAsia"/>
                <w:noProof/>
                <w:spacing w:val="-3"/>
              </w:rPr>
              <w:t xml:space="preserve"> </w:t>
            </w:r>
            <w:r w:rsidR="00F8194A" w:rsidRPr="00B3277A">
              <w:rPr>
                <w:rStyle w:val="Hyperlink"/>
                <w:rFonts w:eastAsiaTheme="majorEastAsia"/>
                <w:noProof/>
              </w:rPr>
              <w:t>E</w:t>
            </w:r>
            <w:r w:rsidR="00F8194A" w:rsidRPr="00B3277A">
              <w:rPr>
                <w:rStyle w:val="Hyperlink"/>
                <w:rFonts w:eastAsiaTheme="majorEastAsia"/>
                <w:noProof/>
                <w:spacing w:val="-4"/>
              </w:rPr>
              <w:t xml:space="preserve"> </w:t>
            </w:r>
            <w:r w:rsidR="00F8194A" w:rsidRPr="00B3277A">
              <w:rPr>
                <w:rStyle w:val="Hyperlink"/>
                <w:rFonts w:eastAsiaTheme="majorEastAsia"/>
                <w:noProof/>
              </w:rPr>
              <w:t>DEGLI</w:t>
            </w:r>
            <w:r w:rsidR="00F8194A" w:rsidRPr="00B3277A">
              <w:rPr>
                <w:rStyle w:val="Hyperlink"/>
                <w:rFonts w:eastAsiaTheme="majorEastAsia"/>
                <w:noProof/>
                <w:spacing w:val="-3"/>
              </w:rPr>
              <w:t xml:space="preserve"> </w:t>
            </w:r>
            <w:r w:rsidR="00F8194A" w:rsidRPr="00B3277A">
              <w:rPr>
                <w:rStyle w:val="Hyperlink"/>
                <w:rFonts w:eastAsiaTheme="majorEastAsia"/>
                <w:noProof/>
              </w:rPr>
              <w:t>EVENTUALI</w:t>
            </w:r>
            <w:r w:rsidR="00F8194A" w:rsidRPr="00B3277A">
              <w:rPr>
                <w:rStyle w:val="Hyperlink"/>
                <w:rFonts w:eastAsiaTheme="majorEastAsia"/>
                <w:noProof/>
                <w:spacing w:val="-1"/>
              </w:rPr>
              <w:t xml:space="preserve"> </w:t>
            </w:r>
            <w:r w:rsidR="00F8194A" w:rsidRPr="00B3277A">
              <w:rPr>
                <w:rStyle w:val="Hyperlink"/>
                <w:rFonts w:eastAsiaTheme="majorEastAsia"/>
                <w:noProof/>
              </w:rPr>
              <w:t>ATTI</w:t>
            </w:r>
            <w:r w:rsidR="00F8194A" w:rsidRPr="00B3277A">
              <w:rPr>
                <w:rStyle w:val="Hyperlink"/>
                <w:rFonts w:eastAsiaTheme="majorEastAsia"/>
                <w:noProof/>
                <w:spacing w:val="-4"/>
              </w:rPr>
              <w:t xml:space="preserve"> </w:t>
            </w:r>
            <w:r w:rsidR="00F8194A" w:rsidRPr="00B3277A">
              <w:rPr>
                <w:rStyle w:val="Hyperlink"/>
                <w:rFonts w:eastAsiaTheme="majorEastAsia"/>
                <w:noProof/>
              </w:rPr>
              <w:t>COLLEGATI</w:t>
            </w:r>
            <w:r w:rsidR="00F8194A">
              <w:rPr>
                <w:noProof/>
                <w:webHidden/>
              </w:rPr>
              <w:tab/>
            </w:r>
            <w:r w:rsidR="00F8194A">
              <w:rPr>
                <w:noProof/>
                <w:webHidden/>
              </w:rPr>
              <w:fldChar w:fldCharType="begin"/>
            </w:r>
            <w:r w:rsidR="00F8194A">
              <w:rPr>
                <w:noProof/>
                <w:webHidden/>
              </w:rPr>
              <w:instrText xml:space="preserve"> PAGEREF _Toc161308486 \h </w:instrText>
            </w:r>
            <w:r w:rsidR="00F8194A">
              <w:rPr>
                <w:noProof/>
                <w:webHidden/>
              </w:rPr>
            </w:r>
            <w:r w:rsidR="00F8194A">
              <w:rPr>
                <w:noProof/>
                <w:webHidden/>
              </w:rPr>
              <w:fldChar w:fldCharType="separate"/>
            </w:r>
            <w:r w:rsidR="00F8194A">
              <w:rPr>
                <w:noProof/>
                <w:webHidden/>
              </w:rPr>
              <w:t>4</w:t>
            </w:r>
            <w:r w:rsidR="00F8194A">
              <w:rPr>
                <w:noProof/>
                <w:webHidden/>
              </w:rPr>
              <w:fldChar w:fldCharType="end"/>
            </w:r>
          </w:hyperlink>
        </w:p>
        <w:p w14:paraId="6071B3B1" w14:textId="3C848147" w:rsidR="00F8194A" w:rsidRDefault="0013296B">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8487" w:history="1">
            <w:r w:rsidR="00F8194A" w:rsidRPr="00B3277A">
              <w:rPr>
                <w:rStyle w:val="Hyperlink"/>
                <w:rFonts w:eastAsiaTheme="majorEastAsia"/>
                <w:noProof/>
              </w:rPr>
              <w:t>2.2</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BREVE DESCRIZIONE DEI SERVIZI CONTRATTUALI</w:t>
            </w:r>
            <w:r w:rsidR="00F8194A">
              <w:rPr>
                <w:noProof/>
                <w:webHidden/>
              </w:rPr>
              <w:tab/>
            </w:r>
            <w:r w:rsidR="00F8194A">
              <w:rPr>
                <w:noProof/>
                <w:webHidden/>
              </w:rPr>
              <w:fldChar w:fldCharType="begin"/>
            </w:r>
            <w:r w:rsidR="00F8194A">
              <w:rPr>
                <w:noProof/>
                <w:webHidden/>
              </w:rPr>
              <w:instrText xml:space="preserve"> PAGEREF _Toc161308487 \h </w:instrText>
            </w:r>
            <w:r w:rsidR="00F8194A">
              <w:rPr>
                <w:noProof/>
                <w:webHidden/>
              </w:rPr>
            </w:r>
            <w:r w:rsidR="00F8194A">
              <w:rPr>
                <w:noProof/>
                <w:webHidden/>
              </w:rPr>
              <w:fldChar w:fldCharType="separate"/>
            </w:r>
            <w:r w:rsidR="00F8194A">
              <w:rPr>
                <w:noProof/>
                <w:webHidden/>
              </w:rPr>
              <w:t>4</w:t>
            </w:r>
            <w:r w:rsidR="00F8194A">
              <w:rPr>
                <w:noProof/>
                <w:webHidden/>
              </w:rPr>
              <w:fldChar w:fldCharType="end"/>
            </w:r>
          </w:hyperlink>
        </w:p>
        <w:p w14:paraId="05078424" w14:textId="53F914CB" w:rsidR="00F8194A" w:rsidRDefault="0013296B">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8488" w:history="1">
            <w:r w:rsidR="00F8194A" w:rsidRPr="00B3277A">
              <w:rPr>
                <w:rStyle w:val="Hyperlink"/>
                <w:b/>
                <w:bCs/>
                <w:noProof/>
              </w:rPr>
              <w:t>2.2.1</w:t>
            </w:r>
            <w:r w:rsidR="00F8194A">
              <w:rPr>
                <w:rFonts w:asciiTheme="minorHAnsi" w:eastAsiaTheme="minorEastAsia" w:hAnsiTheme="minorHAnsi" w:cstheme="minorBidi"/>
                <w:noProof/>
                <w:kern w:val="2"/>
                <w:lang w:val="en-US"/>
                <w14:ligatures w14:val="standardContextual"/>
              </w:rPr>
              <w:tab/>
            </w:r>
            <w:r w:rsidR="00F8194A" w:rsidRPr="00B3277A">
              <w:rPr>
                <w:rStyle w:val="Hyperlink"/>
                <w:b/>
                <w:bCs/>
                <w:noProof/>
              </w:rPr>
              <w:t>Servizi realizzativi</w:t>
            </w:r>
            <w:r w:rsidR="00F8194A">
              <w:rPr>
                <w:noProof/>
                <w:webHidden/>
              </w:rPr>
              <w:tab/>
            </w:r>
            <w:r w:rsidR="00F8194A">
              <w:rPr>
                <w:noProof/>
                <w:webHidden/>
              </w:rPr>
              <w:fldChar w:fldCharType="begin"/>
            </w:r>
            <w:r w:rsidR="00F8194A">
              <w:rPr>
                <w:noProof/>
                <w:webHidden/>
              </w:rPr>
              <w:instrText xml:space="preserve"> PAGEREF _Toc161308488 \h </w:instrText>
            </w:r>
            <w:r w:rsidR="00F8194A">
              <w:rPr>
                <w:noProof/>
                <w:webHidden/>
              </w:rPr>
            </w:r>
            <w:r w:rsidR="00F8194A">
              <w:rPr>
                <w:noProof/>
                <w:webHidden/>
              </w:rPr>
              <w:fldChar w:fldCharType="separate"/>
            </w:r>
            <w:r w:rsidR="00F8194A">
              <w:rPr>
                <w:noProof/>
                <w:webHidden/>
              </w:rPr>
              <w:t>4</w:t>
            </w:r>
            <w:r w:rsidR="00F8194A">
              <w:rPr>
                <w:noProof/>
                <w:webHidden/>
              </w:rPr>
              <w:fldChar w:fldCharType="end"/>
            </w:r>
          </w:hyperlink>
        </w:p>
        <w:p w14:paraId="0C650FB4" w14:textId="5A6DDC91" w:rsidR="00F8194A" w:rsidRDefault="0013296B">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8489" w:history="1">
            <w:r w:rsidR="00F8194A" w:rsidRPr="00B3277A">
              <w:rPr>
                <w:rStyle w:val="Hyperlink"/>
                <w:b/>
                <w:bCs/>
                <w:noProof/>
              </w:rPr>
              <w:t>2.2.2</w:t>
            </w:r>
            <w:r w:rsidR="00F8194A">
              <w:rPr>
                <w:rFonts w:asciiTheme="minorHAnsi" w:eastAsiaTheme="minorEastAsia" w:hAnsiTheme="minorHAnsi" w:cstheme="minorBidi"/>
                <w:noProof/>
                <w:kern w:val="2"/>
                <w:lang w:val="en-US"/>
                <w14:ligatures w14:val="standardContextual"/>
              </w:rPr>
              <w:tab/>
            </w:r>
            <w:r w:rsidR="00F8194A" w:rsidRPr="00B3277A">
              <w:rPr>
                <w:rStyle w:val="Hyperlink"/>
                <w:b/>
                <w:bCs/>
                <w:noProof/>
              </w:rPr>
              <w:t>Servizi di Gestione e Manutenzione</w:t>
            </w:r>
            <w:r w:rsidR="00F8194A">
              <w:rPr>
                <w:noProof/>
                <w:webHidden/>
              </w:rPr>
              <w:tab/>
            </w:r>
            <w:r w:rsidR="00F8194A">
              <w:rPr>
                <w:noProof/>
                <w:webHidden/>
              </w:rPr>
              <w:fldChar w:fldCharType="begin"/>
            </w:r>
            <w:r w:rsidR="00F8194A">
              <w:rPr>
                <w:noProof/>
                <w:webHidden/>
              </w:rPr>
              <w:instrText xml:space="preserve"> PAGEREF _Toc161308489 \h </w:instrText>
            </w:r>
            <w:r w:rsidR="00F8194A">
              <w:rPr>
                <w:noProof/>
                <w:webHidden/>
              </w:rPr>
            </w:r>
            <w:r w:rsidR="00F8194A">
              <w:rPr>
                <w:noProof/>
                <w:webHidden/>
              </w:rPr>
              <w:fldChar w:fldCharType="separate"/>
            </w:r>
            <w:r w:rsidR="00F8194A">
              <w:rPr>
                <w:noProof/>
                <w:webHidden/>
              </w:rPr>
              <w:t>5</w:t>
            </w:r>
            <w:r w:rsidR="00F8194A">
              <w:rPr>
                <w:noProof/>
                <w:webHidden/>
              </w:rPr>
              <w:fldChar w:fldCharType="end"/>
            </w:r>
          </w:hyperlink>
        </w:p>
        <w:p w14:paraId="1C182FD4" w14:textId="4E587D66" w:rsidR="00F8194A" w:rsidRDefault="0013296B">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1308490" w:history="1">
            <w:r w:rsidR="00F8194A" w:rsidRPr="00B3277A">
              <w:rPr>
                <w:rStyle w:val="Hyperlink"/>
                <w:b/>
                <w:bCs/>
                <w:noProof/>
              </w:rPr>
              <w:t>2.2.3</w:t>
            </w:r>
            <w:r w:rsidR="00F8194A">
              <w:rPr>
                <w:rFonts w:asciiTheme="minorHAnsi" w:eastAsiaTheme="minorEastAsia" w:hAnsiTheme="minorHAnsi" w:cstheme="minorBidi"/>
                <w:noProof/>
                <w:kern w:val="2"/>
                <w:lang w:val="en-US"/>
                <w14:ligatures w14:val="standardContextual"/>
              </w:rPr>
              <w:tab/>
            </w:r>
            <w:r w:rsidR="00F8194A" w:rsidRPr="00B3277A">
              <w:rPr>
                <w:rStyle w:val="Hyperlink"/>
                <w:b/>
                <w:bCs/>
                <w:noProof/>
              </w:rPr>
              <w:t>Servizi Specialistici</w:t>
            </w:r>
            <w:r w:rsidR="00F8194A">
              <w:rPr>
                <w:noProof/>
                <w:webHidden/>
              </w:rPr>
              <w:tab/>
            </w:r>
            <w:r w:rsidR="00F8194A">
              <w:rPr>
                <w:noProof/>
                <w:webHidden/>
              </w:rPr>
              <w:fldChar w:fldCharType="begin"/>
            </w:r>
            <w:r w:rsidR="00F8194A">
              <w:rPr>
                <w:noProof/>
                <w:webHidden/>
              </w:rPr>
              <w:instrText xml:space="preserve"> PAGEREF _Toc161308490 \h </w:instrText>
            </w:r>
            <w:r w:rsidR="00F8194A">
              <w:rPr>
                <w:noProof/>
                <w:webHidden/>
              </w:rPr>
            </w:r>
            <w:r w:rsidR="00F8194A">
              <w:rPr>
                <w:noProof/>
                <w:webHidden/>
              </w:rPr>
              <w:fldChar w:fldCharType="separate"/>
            </w:r>
            <w:r w:rsidR="00F8194A">
              <w:rPr>
                <w:noProof/>
                <w:webHidden/>
              </w:rPr>
              <w:t>6</w:t>
            </w:r>
            <w:r w:rsidR="00F8194A">
              <w:rPr>
                <w:noProof/>
                <w:webHidden/>
              </w:rPr>
              <w:fldChar w:fldCharType="end"/>
            </w:r>
          </w:hyperlink>
        </w:p>
        <w:p w14:paraId="66EF9DC6" w14:textId="5DB3B001" w:rsidR="00F8194A" w:rsidRDefault="0013296B">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8491" w:history="1">
            <w:r w:rsidR="00F8194A" w:rsidRPr="00B3277A">
              <w:rPr>
                <w:rStyle w:val="Hyperlink"/>
                <w:rFonts w:eastAsiaTheme="majorEastAsia"/>
                <w:noProof/>
              </w:rPr>
              <w:t>2.3</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BREVE DESCRIZIONE DEI PRODOTTI/SERVIZI REALIZZATI E COLLAUDATI</w:t>
            </w:r>
            <w:r w:rsidR="00F8194A">
              <w:rPr>
                <w:noProof/>
                <w:webHidden/>
              </w:rPr>
              <w:tab/>
            </w:r>
            <w:r w:rsidR="00F8194A">
              <w:rPr>
                <w:noProof/>
                <w:webHidden/>
              </w:rPr>
              <w:fldChar w:fldCharType="begin"/>
            </w:r>
            <w:r w:rsidR="00F8194A">
              <w:rPr>
                <w:noProof/>
                <w:webHidden/>
              </w:rPr>
              <w:instrText xml:space="preserve"> PAGEREF _Toc161308491 \h </w:instrText>
            </w:r>
            <w:r w:rsidR="00F8194A">
              <w:rPr>
                <w:noProof/>
                <w:webHidden/>
              </w:rPr>
            </w:r>
            <w:r w:rsidR="00F8194A">
              <w:rPr>
                <w:noProof/>
                <w:webHidden/>
              </w:rPr>
              <w:fldChar w:fldCharType="separate"/>
            </w:r>
            <w:r w:rsidR="00F8194A">
              <w:rPr>
                <w:noProof/>
                <w:webHidden/>
              </w:rPr>
              <w:t>6</w:t>
            </w:r>
            <w:r w:rsidR="00F8194A">
              <w:rPr>
                <w:noProof/>
                <w:webHidden/>
              </w:rPr>
              <w:fldChar w:fldCharType="end"/>
            </w:r>
          </w:hyperlink>
        </w:p>
        <w:p w14:paraId="118492E5" w14:textId="3A40954D" w:rsidR="00F8194A" w:rsidRDefault="0013296B">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1308492" w:history="1">
            <w:r w:rsidR="00F8194A" w:rsidRPr="00B3277A">
              <w:rPr>
                <w:rStyle w:val="Hyperlink"/>
                <w:rFonts w:eastAsiaTheme="majorEastAsia"/>
                <w:noProof/>
              </w:rPr>
              <w:t>2.4</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BREVE DESCRIZIONE ATTIVITÀ DI MONITORAGGIO SVOLTE</w:t>
            </w:r>
            <w:r w:rsidR="00F8194A">
              <w:rPr>
                <w:noProof/>
                <w:webHidden/>
              </w:rPr>
              <w:tab/>
            </w:r>
            <w:r w:rsidR="00F8194A">
              <w:rPr>
                <w:noProof/>
                <w:webHidden/>
              </w:rPr>
              <w:fldChar w:fldCharType="begin"/>
            </w:r>
            <w:r w:rsidR="00F8194A">
              <w:rPr>
                <w:noProof/>
                <w:webHidden/>
              </w:rPr>
              <w:instrText xml:space="preserve"> PAGEREF _Toc161308492 \h </w:instrText>
            </w:r>
            <w:r w:rsidR="00F8194A">
              <w:rPr>
                <w:noProof/>
                <w:webHidden/>
              </w:rPr>
            </w:r>
            <w:r w:rsidR="00F8194A">
              <w:rPr>
                <w:noProof/>
                <w:webHidden/>
              </w:rPr>
              <w:fldChar w:fldCharType="separate"/>
            </w:r>
            <w:r w:rsidR="00F8194A">
              <w:rPr>
                <w:noProof/>
                <w:webHidden/>
              </w:rPr>
              <w:t>6</w:t>
            </w:r>
            <w:r w:rsidR="00F8194A">
              <w:rPr>
                <w:noProof/>
                <w:webHidden/>
              </w:rPr>
              <w:fldChar w:fldCharType="end"/>
            </w:r>
          </w:hyperlink>
        </w:p>
        <w:p w14:paraId="26040621" w14:textId="4D5AB91C" w:rsidR="00F8194A" w:rsidRDefault="0013296B">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8493" w:history="1">
            <w:r w:rsidR="00F8194A" w:rsidRPr="00B3277A">
              <w:rPr>
                <w:rStyle w:val="Hyperlink"/>
                <w:rFonts w:eastAsiaTheme="majorEastAsia"/>
                <w:noProof/>
              </w:rPr>
              <w:t>3</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SINTESI</w:t>
            </w:r>
            <w:r w:rsidR="00F8194A" w:rsidRPr="00B3277A">
              <w:rPr>
                <w:rStyle w:val="Hyperlink"/>
                <w:rFonts w:eastAsiaTheme="majorEastAsia"/>
                <w:noProof/>
                <w:spacing w:val="-6"/>
              </w:rPr>
              <w:t xml:space="preserve"> </w:t>
            </w:r>
            <w:r w:rsidR="00F8194A" w:rsidRPr="00B3277A">
              <w:rPr>
                <w:rStyle w:val="Hyperlink"/>
                <w:rFonts w:eastAsiaTheme="majorEastAsia"/>
                <w:noProof/>
              </w:rPr>
              <w:t>PER</w:t>
            </w:r>
            <w:r w:rsidR="00F8194A" w:rsidRPr="00B3277A">
              <w:rPr>
                <w:rStyle w:val="Hyperlink"/>
                <w:rFonts w:eastAsiaTheme="majorEastAsia"/>
                <w:noProof/>
                <w:spacing w:val="-5"/>
              </w:rPr>
              <w:t xml:space="preserve"> </w:t>
            </w:r>
            <w:r w:rsidR="00F8194A" w:rsidRPr="00B3277A">
              <w:rPr>
                <w:rStyle w:val="Hyperlink"/>
                <w:rFonts w:eastAsiaTheme="majorEastAsia"/>
                <w:noProof/>
              </w:rPr>
              <w:t>L’ALTA</w:t>
            </w:r>
            <w:r w:rsidR="00F8194A" w:rsidRPr="00B3277A">
              <w:rPr>
                <w:rStyle w:val="Hyperlink"/>
                <w:rFonts w:eastAsiaTheme="majorEastAsia"/>
                <w:noProof/>
                <w:spacing w:val="-4"/>
              </w:rPr>
              <w:t xml:space="preserve"> </w:t>
            </w:r>
            <w:r w:rsidR="00F8194A" w:rsidRPr="00B3277A">
              <w:rPr>
                <w:rStyle w:val="Hyperlink"/>
                <w:rFonts w:eastAsiaTheme="majorEastAsia"/>
                <w:noProof/>
              </w:rPr>
              <w:t>DIREZIONE</w:t>
            </w:r>
            <w:r w:rsidR="00F8194A">
              <w:rPr>
                <w:noProof/>
                <w:webHidden/>
              </w:rPr>
              <w:tab/>
            </w:r>
            <w:r w:rsidR="00F8194A">
              <w:rPr>
                <w:noProof/>
                <w:webHidden/>
              </w:rPr>
              <w:fldChar w:fldCharType="begin"/>
            </w:r>
            <w:r w:rsidR="00F8194A">
              <w:rPr>
                <w:noProof/>
                <w:webHidden/>
              </w:rPr>
              <w:instrText xml:space="preserve"> PAGEREF _Toc161308493 \h </w:instrText>
            </w:r>
            <w:r w:rsidR="00F8194A">
              <w:rPr>
                <w:noProof/>
                <w:webHidden/>
              </w:rPr>
            </w:r>
            <w:r w:rsidR="00F8194A">
              <w:rPr>
                <w:noProof/>
                <w:webHidden/>
              </w:rPr>
              <w:fldChar w:fldCharType="separate"/>
            </w:r>
            <w:r w:rsidR="00F8194A">
              <w:rPr>
                <w:noProof/>
                <w:webHidden/>
              </w:rPr>
              <w:t>6</w:t>
            </w:r>
            <w:r w:rsidR="00F8194A">
              <w:rPr>
                <w:noProof/>
                <w:webHidden/>
              </w:rPr>
              <w:fldChar w:fldCharType="end"/>
            </w:r>
          </w:hyperlink>
        </w:p>
        <w:p w14:paraId="036BD68A" w14:textId="0F235ACE" w:rsidR="00F8194A" w:rsidRDefault="0013296B">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8494" w:history="1">
            <w:r w:rsidR="00F8194A" w:rsidRPr="00B3277A">
              <w:rPr>
                <w:rStyle w:val="Hyperlink"/>
                <w:rFonts w:eastAsiaTheme="majorEastAsia"/>
                <w:noProof/>
              </w:rPr>
              <w:t>4</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METODOLOGIA</w:t>
            </w:r>
            <w:r w:rsidR="00F8194A" w:rsidRPr="00B3277A">
              <w:rPr>
                <w:rStyle w:val="Hyperlink"/>
                <w:rFonts w:eastAsiaTheme="majorEastAsia"/>
                <w:noProof/>
                <w:spacing w:val="-5"/>
              </w:rPr>
              <w:t xml:space="preserve"> </w:t>
            </w:r>
            <w:r w:rsidR="00F8194A" w:rsidRPr="00B3277A">
              <w:rPr>
                <w:rStyle w:val="Hyperlink"/>
                <w:rFonts w:eastAsiaTheme="majorEastAsia"/>
                <w:noProof/>
              </w:rPr>
              <w:t>DI</w:t>
            </w:r>
            <w:r w:rsidR="00F8194A" w:rsidRPr="00B3277A">
              <w:rPr>
                <w:rStyle w:val="Hyperlink"/>
                <w:rFonts w:eastAsiaTheme="majorEastAsia"/>
                <w:noProof/>
                <w:spacing w:val="-3"/>
              </w:rPr>
              <w:t xml:space="preserve"> </w:t>
            </w:r>
            <w:r w:rsidR="00F8194A" w:rsidRPr="00B3277A">
              <w:rPr>
                <w:rStyle w:val="Hyperlink"/>
                <w:rFonts w:eastAsiaTheme="majorEastAsia"/>
                <w:noProof/>
              </w:rPr>
              <w:t>ANALISI</w:t>
            </w:r>
            <w:r w:rsidR="00F8194A">
              <w:rPr>
                <w:noProof/>
                <w:webHidden/>
              </w:rPr>
              <w:tab/>
            </w:r>
            <w:r w:rsidR="00F8194A">
              <w:rPr>
                <w:noProof/>
                <w:webHidden/>
              </w:rPr>
              <w:fldChar w:fldCharType="begin"/>
            </w:r>
            <w:r w:rsidR="00F8194A">
              <w:rPr>
                <w:noProof/>
                <w:webHidden/>
              </w:rPr>
              <w:instrText xml:space="preserve"> PAGEREF _Toc161308494 \h </w:instrText>
            </w:r>
            <w:r w:rsidR="00F8194A">
              <w:rPr>
                <w:noProof/>
                <w:webHidden/>
              </w:rPr>
            </w:r>
            <w:r w:rsidR="00F8194A">
              <w:rPr>
                <w:noProof/>
                <w:webHidden/>
              </w:rPr>
              <w:fldChar w:fldCharType="separate"/>
            </w:r>
            <w:r w:rsidR="00F8194A">
              <w:rPr>
                <w:noProof/>
                <w:webHidden/>
              </w:rPr>
              <w:t>6</w:t>
            </w:r>
            <w:r w:rsidR="00F8194A">
              <w:rPr>
                <w:noProof/>
                <w:webHidden/>
              </w:rPr>
              <w:fldChar w:fldCharType="end"/>
            </w:r>
          </w:hyperlink>
        </w:p>
        <w:p w14:paraId="5B122899" w14:textId="47084C75" w:rsidR="00F8194A" w:rsidRDefault="0013296B">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8495" w:history="1">
            <w:r w:rsidR="00F8194A" w:rsidRPr="00B3277A">
              <w:rPr>
                <w:rStyle w:val="Hyperlink"/>
                <w:rFonts w:eastAsiaTheme="majorEastAsia"/>
                <w:noProof/>
              </w:rPr>
              <w:t>5</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STORIA</w:t>
            </w:r>
            <w:r w:rsidR="00F8194A" w:rsidRPr="00B3277A">
              <w:rPr>
                <w:rStyle w:val="Hyperlink"/>
                <w:rFonts w:eastAsiaTheme="majorEastAsia"/>
                <w:noProof/>
                <w:spacing w:val="-3"/>
              </w:rPr>
              <w:t xml:space="preserve"> </w:t>
            </w:r>
            <w:r w:rsidR="00F8194A" w:rsidRPr="00B3277A">
              <w:rPr>
                <w:rStyle w:val="Hyperlink"/>
                <w:rFonts w:eastAsiaTheme="majorEastAsia"/>
                <w:noProof/>
              </w:rPr>
              <w:t>DEL</w:t>
            </w:r>
            <w:r w:rsidR="00F8194A" w:rsidRPr="00B3277A">
              <w:rPr>
                <w:rStyle w:val="Hyperlink"/>
                <w:rFonts w:eastAsiaTheme="majorEastAsia"/>
                <w:noProof/>
                <w:spacing w:val="-1"/>
              </w:rPr>
              <w:t xml:space="preserve"> </w:t>
            </w:r>
            <w:r w:rsidR="00F8194A" w:rsidRPr="00B3277A">
              <w:rPr>
                <w:rStyle w:val="Hyperlink"/>
                <w:rFonts w:eastAsiaTheme="majorEastAsia"/>
                <w:noProof/>
              </w:rPr>
              <w:t>CONTRATTO</w:t>
            </w:r>
            <w:r w:rsidR="00F8194A">
              <w:rPr>
                <w:noProof/>
                <w:webHidden/>
              </w:rPr>
              <w:tab/>
            </w:r>
            <w:r w:rsidR="00F8194A">
              <w:rPr>
                <w:noProof/>
                <w:webHidden/>
              </w:rPr>
              <w:fldChar w:fldCharType="begin"/>
            </w:r>
            <w:r w:rsidR="00F8194A">
              <w:rPr>
                <w:noProof/>
                <w:webHidden/>
              </w:rPr>
              <w:instrText xml:space="preserve"> PAGEREF _Toc161308495 \h </w:instrText>
            </w:r>
            <w:r w:rsidR="00F8194A">
              <w:rPr>
                <w:noProof/>
                <w:webHidden/>
              </w:rPr>
            </w:r>
            <w:r w:rsidR="00F8194A">
              <w:rPr>
                <w:noProof/>
                <w:webHidden/>
              </w:rPr>
              <w:fldChar w:fldCharType="separate"/>
            </w:r>
            <w:r w:rsidR="00F8194A">
              <w:rPr>
                <w:noProof/>
                <w:webHidden/>
              </w:rPr>
              <w:t>8</w:t>
            </w:r>
            <w:r w:rsidR="00F8194A">
              <w:rPr>
                <w:noProof/>
                <w:webHidden/>
              </w:rPr>
              <w:fldChar w:fldCharType="end"/>
            </w:r>
          </w:hyperlink>
        </w:p>
        <w:p w14:paraId="62AC65D3" w14:textId="746E92BE" w:rsidR="00F8194A" w:rsidRDefault="0013296B">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8496" w:history="1">
            <w:r w:rsidR="00F8194A" w:rsidRPr="00B3277A">
              <w:rPr>
                <w:rStyle w:val="Hyperlink"/>
                <w:rFonts w:eastAsiaTheme="majorEastAsia"/>
                <w:noProof/>
              </w:rPr>
              <w:t>6</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RISULTATI</w:t>
            </w:r>
            <w:r w:rsidR="00F8194A" w:rsidRPr="00B3277A">
              <w:rPr>
                <w:rStyle w:val="Hyperlink"/>
                <w:rFonts w:eastAsiaTheme="majorEastAsia"/>
                <w:noProof/>
                <w:spacing w:val="-4"/>
              </w:rPr>
              <w:t xml:space="preserve"> </w:t>
            </w:r>
            <w:r w:rsidR="00F8194A" w:rsidRPr="00B3277A">
              <w:rPr>
                <w:rStyle w:val="Hyperlink"/>
                <w:rFonts w:eastAsiaTheme="majorEastAsia"/>
                <w:noProof/>
              </w:rPr>
              <w:t>OTTENUTI</w:t>
            </w:r>
            <w:r w:rsidR="00F8194A">
              <w:rPr>
                <w:noProof/>
                <w:webHidden/>
              </w:rPr>
              <w:tab/>
            </w:r>
            <w:r w:rsidR="00F8194A">
              <w:rPr>
                <w:noProof/>
                <w:webHidden/>
              </w:rPr>
              <w:fldChar w:fldCharType="begin"/>
            </w:r>
            <w:r w:rsidR="00F8194A">
              <w:rPr>
                <w:noProof/>
                <w:webHidden/>
              </w:rPr>
              <w:instrText xml:space="preserve"> PAGEREF _Toc161308496 \h </w:instrText>
            </w:r>
            <w:r w:rsidR="00F8194A">
              <w:rPr>
                <w:noProof/>
                <w:webHidden/>
              </w:rPr>
            </w:r>
            <w:r w:rsidR="00F8194A">
              <w:rPr>
                <w:noProof/>
                <w:webHidden/>
              </w:rPr>
              <w:fldChar w:fldCharType="separate"/>
            </w:r>
            <w:r w:rsidR="00F8194A">
              <w:rPr>
                <w:noProof/>
                <w:webHidden/>
              </w:rPr>
              <w:t>8</w:t>
            </w:r>
            <w:r w:rsidR="00F8194A">
              <w:rPr>
                <w:noProof/>
                <w:webHidden/>
              </w:rPr>
              <w:fldChar w:fldCharType="end"/>
            </w:r>
          </w:hyperlink>
        </w:p>
        <w:p w14:paraId="0ACB2D3E" w14:textId="19569805" w:rsidR="00F8194A" w:rsidRDefault="0013296B">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1308497" w:history="1">
            <w:r w:rsidR="00F8194A" w:rsidRPr="00B3277A">
              <w:rPr>
                <w:rStyle w:val="Hyperlink"/>
                <w:rFonts w:eastAsiaTheme="majorEastAsia"/>
                <w:noProof/>
              </w:rPr>
              <w:t>7</w:t>
            </w:r>
            <w:r w:rsidR="00F8194A">
              <w:rPr>
                <w:rFonts w:asciiTheme="minorHAnsi" w:eastAsiaTheme="minorEastAsia" w:hAnsiTheme="minorHAnsi" w:cstheme="minorBidi"/>
                <w:noProof/>
                <w:kern w:val="2"/>
                <w:lang w:val="en-US"/>
                <w14:ligatures w14:val="standardContextual"/>
              </w:rPr>
              <w:tab/>
            </w:r>
            <w:r w:rsidR="00F8194A" w:rsidRPr="00B3277A">
              <w:rPr>
                <w:rStyle w:val="Hyperlink"/>
                <w:rFonts w:eastAsiaTheme="majorEastAsia"/>
                <w:noProof/>
              </w:rPr>
              <w:t>LEZIONI</w:t>
            </w:r>
            <w:r w:rsidR="00F8194A" w:rsidRPr="00B3277A">
              <w:rPr>
                <w:rStyle w:val="Hyperlink"/>
                <w:rFonts w:eastAsiaTheme="majorEastAsia"/>
                <w:noProof/>
                <w:spacing w:val="-5"/>
              </w:rPr>
              <w:t xml:space="preserve"> </w:t>
            </w:r>
            <w:r w:rsidR="00F8194A" w:rsidRPr="00B3277A">
              <w:rPr>
                <w:rStyle w:val="Hyperlink"/>
                <w:rFonts w:eastAsiaTheme="majorEastAsia"/>
                <w:noProof/>
              </w:rPr>
              <w:t>APPRESE</w:t>
            </w:r>
            <w:r w:rsidR="00F8194A" w:rsidRPr="00B3277A">
              <w:rPr>
                <w:rStyle w:val="Hyperlink"/>
                <w:rFonts w:eastAsiaTheme="majorEastAsia"/>
                <w:noProof/>
                <w:spacing w:val="-4"/>
              </w:rPr>
              <w:t xml:space="preserve"> </w:t>
            </w:r>
            <w:r w:rsidR="00F8194A" w:rsidRPr="00B3277A">
              <w:rPr>
                <w:rStyle w:val="Hyperlink"/>
                <w:rFonts w:eastAsiaTheme="majorEastAsia"/>
                <w:noProof/>
              </w:rPr>
              <w:t>ED</w:t>
            </w:r>
            <w:r w:rsidR="00F8194A" w:rsidRPr="00B3277A">
              <w:rPr>
                <w:rStyle w:val="Hyperlink"/>
                <w:rFonts w:eastAsiaTheme="majorEastAsia"/>
                <w:noProof/>
                <w:spacing w:val="-2"/>
              </w:rPr>
              <w:t xml:space="preserve"> </w:t>
            </w:r>
            <w:r w:rsidR="00F8194A" w:rsidRPr="00B3277A">
              <w:rPr>
                <w:rStyle w:val="Hyperlink"/>
                <w:rFonts w:eastAsiaTheme="majorEastAsia"/>
                <w:noProof/>
              </w:rPr>
              <w:t>INIZIATIVE</w:t>
            </w:r>
            <w:r w:rsidR="00F8194A" w:rsidRPr="00B3277A">
              <w:rPr>
                <w:rStyle w:val="Hyperlink"/>
                <w:rFonts w:eastAsiaTheme="majorEastAsia"/>
                <w:noProof/>
                <w:spacing w:val="-4"/>
              </w:rPr>
              <w:t xml:space="preserve"> </w:t>
            </w:r>
            <w:r w:rsidR="00F8194A" w:rsidRPr="00B3277A">
              <w:rPr>
                <w:rStyle w:val="Hyperlink"/>
                <w:rFonts w:eastAsiaTheme="majorEastAsia"/>
                <w:noProof/>
              </w:rPr>
              <w:t>FUTURE</w:t>
            </w:r>
            <w:r w:rsidR="00F8194A">
              <w:rPr>
                <w:noProof/>
                <w:webHidden/>
              </w:rPr>
              <w:tab/>
            </w:r>
            <w:r w:rsidR="00F8194A">
              <w:rPr>
                <w:noProof/>
                <w:webHidden/>
              </w:rPr>
              <w:fldChar w:fldCharType="begin"/>
            </w:r>
            <w:r w:rsidR="00F8194A">
              <w:rPr>
                <w:noProof/>
                <w:webHidden/>
              </w:rPr>
              <w:instrText xml:space="preserve"> PAGEREF _Toc161308497 \h </w:instrText>
            </w:r>
            <w:r w:rsidR="00F8194A">
              <w:rPr>
                <w:noProof/>
                <w:webHidden/>
              </w:rPr>
            </w:r>
            <w:r w:rsidR="00F8194A">
              <w:rPr>
                <w:noProof/>
                <w:webHidden/>
              </w:rPr>
              <w:fldChar w:fldCharType="separate"/>
            </w:r>
            <w:r w:rsidR="00F8194A">
              <w:rPr>
                <w:noProof/>
                <w:webHidden/>
              </w:rPr>
              <w:t>8</w:t>
            </w:r>
            <w:r w:rsidR="00F8194A">
              <w:rPr>
                <w:noProof/>
                <w:webHidden/>
              </w:rPr>
              <w:fldChar w:fldCharType="end"/>
            </w:r>
          </w:hyperlink>
        </w:p>
        <w:p w14:paraId="5E6A9A11" w14:textId="2F9351FB" w:rsidR="00044919" w:rsidRPr="00F041B2" w:rsidRDefault="00044919">
          <w:pPr>
            <w:rPr>
              <w:sz w:val="24"/>
              <w:szCs w:val="24"/>
            </w:rPr>
          </w:pPr>
          <w:r w:rsidRPr="00F041B2">
            <w:rPr>
              <w:b/>
              <w:bCs/>
              <w:noProof/>
              <w:sz w:val="24"/>
              <w:szCs w:val="24"/>
            </w:rPr>
            <w:fldChar w:fldCharType="end"/>
          </w:r>
        </w:p>
      </w:sdtContent>
    </w:sdt>
    <w:p w14:paraId="46425F09" w14:textId="2A511BF8" w:rsidR="00E16405" w:rsidRPr="00E16405" w:rsidRDefault="00E16405">
      <w:pPr>
        <w:rPr>
          <w:color w:val="000000" w:themeColor="text1"/>
        </w:rPr>
        <w:sectPr w:rsidR="00E16405" w:rsidRPr="00E16405" w:rsidSect="0095275B">
          <w:footerReference w:type="default" r:id="rId12"/>
          <w:pgSz w:w="11910" w:h="16840"/>
          <w:pgMar w:top="1360" w:right="1278" w:bottom="1240" w:left="1276" w:header="0" w:footer="1051" w:gutter="0"/>
          <w:cols w:space="720"/>
        </w:sectPr>
      </w:pPr>
    </w:p>
    <w:p w14:paraId="7B44B222" w14:textId="77777777" w:rsidR="00897775" w:rsidRPr="00703853" w:rsidRDefault="002F7EE0">
      <w:pPr>
        <w:pStyle w:val="Heading1"/>
        <w:numPr>
          <w:ilvl w:val="0"/>
          <w:numId w:val="2"/>
        </w:numPr>
      </w:pPr>
      <w:bookmarkStart w:id="0" w:name="_Toc161308484"/>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0"/>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00087E49">
        <w:trPr>
          <w:trHeight w:val="499"/>
        </w:trPr>
        <w:tc>
          <w:tcPr>
            <w:tcW w:w="3961" w:type="dxa"/>
            <w:shd w:val="clear" w:color="auto" w:fill="DBE5F1" w:themeFill="accent1" w:themeFillTint="33"/>
            <w:vAlign w:val="center"/>
          </w:tcPr>
          <w:p w14:paraId="6F8A48BA" w14:textId="77777777" w:rsidR="00897775" w:rsidRPr="005906E3" w:rsidRDefault="002F7EE0">
            <w:pPr>
              <w:pStyle w:val="TableParagraph"/>
              <w:spacing w:line="251" w:lineRule="exact"/>
              <w:ind w:right="91"/>
              <w:jc w:val="right"/>
              <w:rPr>
                <w:sz w:val="24"/>
                <w:szCs w:val="24"/>
              </w:rPr>
            </w:pPr>
            <w:r w:rsidRPr="005906E3">
              <w:rPr>
                <w:sz w:val="24"/>
                <w:szCs w:val="24"/>
              </w:rPr>
              <w:t>Denominazione</w:t>
            </w:r>
            <w:r w:rsidRPr="005906E3">
              <w:rPr>
                <w:spacing w:val="-8"/>
                <w:sz w:val="24"/>
                <w:szCs w:val="24"/>
              </w:rPr>
              <w:t xml:space="preserve"> </w:t>
            </w:r>
            <w:r w:rsidRPr="005906E3">
              <w:rPr>
                <w:sz w:val="24"/>
                <w:szCs w:val="24"/>
              </w:rPr>
              <w:t>dell’Amministrazione</w:t>
            </w:r>
          </w:p>
        </w:tc>
        <w:tc>
          <w:tcPr>
            <w:tcW w:w="5145" w:type="dxa"/>
            <w:vAlign w:val="center"/>
          </w:tcPr>
          <w:p w14:paraId="2714EF46" w14:textId="4514214D" w:rsidR="00897775" w:rsidRPr="00CF185B" w:rsidRDefault="0086174D" w:rsidP="00B22C57">
            <w:pPr>
              <w:pStyle w:val="Default"/>
              <w:jc w:val="both"/>
              <w:rPr>
                <w:rFonts w:ascii="Times New Roman" w:hAnsi="Times New Roman" w:cs="Times New Roman"/>
              </w:rPr>
            </w:pPr>
            <w:r w:rsidRPr="00CF185B">
              <w:rPr>
                <w:rFonts w:ascii="Times New Roman" w:hAnsi="Times New Roman" w:cs="Times New Roman"/>
              </w:rPr>
              <w:t xml:space="preserve">Ministero della Giustizia - </w:t>
            </w:r>
            <w:r w:rsidR="00671554" w:rsidRPr="00671554">
              <w:rPr>
                <w:rFonts w:ascii="Times New Roman" w:hAnsi="Times New Roman" w:cs="Times New Roman"/>
              </w:rPr>
              <w:t>Dipartimento per l’innovazione tecnologica della giustizia</w:t>
            </w:r>
            <w:r w:rsidRPr="00CF185B">
              <w:rPr>
                <w:rFonts w:ascii="Times New Roman" w:hAnsi="Times New Roman" w:cs="Times New Roman"/>
              </w:rPr>
              <w:t xml:space="preserve"> - Direzione Generale per i Sistemi Informativi Automatizzati (DGSIA)</w:t>
            </w:r>
          </w:p>
        </w:tc>
      </w:tr>
      <w:tr w:rsidR="00897775" w:rsidRPr="00703853" w14:paraId="45C794BF" w14:textId="77777777" w:rsidTr="008A6DA8">
        <w:trPr>
          <w:trHeight w:val="502"/>
        </w:trPr>
        <w:tc>
          <w:tcPr>
            <w:tcW w:w="3961" w:type="dxa"/>
            <w:shd w:val="clear" w:color="auto" w:fill="DBE5F1" w:themeFill="accent1" w:themeFillTint="33"/>
            <w:vAlign w:val="center"/>
          </w:tcPr>
          <w:p w14:paraId="117E18E8" w14:textId="77777777" w:rsidR="00897775" w:rsidRPr="005906E3" w:rsidRDefault="002F7EE0">
            <w:pPr>
              <w:pStyle w:val="TableParagraph"/>
              <w:spacing w:line="253" w:lineRule="exact"/>
              <w:ind w:right="92"/>
              <w:jc w:val="right"/>
              <w:rPr>
                <w:sz w:val="24"/>
                <w:szCs w:val="24"/>
              </w:rPr>
            </w:pPr>
            <w:r w:rsidRPr="005906E3">
              <w:rPr>
                <w:sz w:val="24"/>
                <w:szCs w:val="24"/>
              </w:rPr>
              <w:t>Codice</w:t>
            </w:r>
            <w:r w:rsidRPr="005906E3">
              <w:rPr>
                <w:spacing w:val="-4"/>
                <w:sz w:val="24"/>
                <w:szCs w:val="24"/>
              </w:rPr>
              <w:t xml:space="preserve"> </w:t>
            </w:r>
            <w:r w:rsidRPr="005906E3">
              <w:rPr>
                <w:sz w:val="24"/>
                <w:szCs w:val="24"/>
              </w:rPr>
              <w:t>parere</w:t>
            </w:r>
          </w:p>
        </w:tc>
        <w:tc>
          <w:tcPr>
            <w:tcW w:w="5145" w:type="dxa"/>
            <w:vAlign w:val="center"/>
          </w:tcPr>
          <w:p w14:paraId="2D8E43B0" w14:textId="14C4BAD7" w:rsidR="00897775" w:rsidRPr="005906E3" w:rsidRDefault="008A6DA8" w:rsidP="008A6DA8">
            <w:pPr>
              <w:pStyle w:val="Default"/>
              <w:rPr>
                <w:rFonts w:ascii="Times New Roman" w:hAnsi="Times New Roman" w:cs="Times New Roman"/>
              </w:rPr>
            </w:pPr>
            <w:r>
              <w:rPr>
                <w:rFonts w:ascii="Times New Roman" w:hAnsi="Times New Roman" w:cs="Times New Roman"/>
              </w:rPr>
              <w:t>-</w:t>
            </w:r>
          </w:p>
        </w:tc>
      </w:tr>
      <w:tr w:rsidR="00897775" w:rsidRPr="00703853" w14:paraId="7300223B" w14:textId="77777777" w:rsidTr="00087E49">
        <w:trPr>
          <w:trHeight w:val="502"/>
        </w:trPr>
        <w:tc>
          <w:tcPr>
            <w:tcW w:w="3961" w:type="dxa"/>
            <w:shd w:val="clear" w:color="auto" w:fill="DBE5F1" w:themeFill="accent1" w:themeFillTint="33"/>
            <w:vAlign w:val="center"/>
          </w:tcPr>
          <w:p w14:paraId="14A24D1D" w14:textId="77777777" w:rsidR="00897775" w:rsidRPr="005906E3" w:rsidRDefault="002F7EE0">
            <w:pPr>
              <w:pStyle w:val="TableParagraph"/>
              <w:spacing w:line="251" w:lineRule="exact"/>
              <w:ind w:right="95"/>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contratto</w:t>
            </w:r>
          </w:p>
        </w:tc>
        <w:tc>
          <w:tcPr>
            <w:tcW w:w="5145" w:type="dxa"/>
          </w:tcPr>
          <w:p w14:paraId="31751054" w14:textId="6B9F775B" w:rsidR="00897775" w:rsidRPr="005906E3" w:rsidRDefault="00B75CA7" w:rsidP="00B22C57">
            <w:pPr>
              <w:pStyle w:val="TableParagraph"/>
              <w:jc w:val="both"/>
              <w:rPr>
                <w:sz w:val="24"/>
                <w:szCs w:val="24"/>
              </w:rPr>
            </w:pPr>
            <w:r w:rsidRPr="00B75CA7">
              <w:rPr>
                <w:sz w:val="24"/>
                <w:szCs w:val="24"/>
              </w:rPr>
              <w:t>Adesione AQ - SAC lotto 1 - (</w:t>
            </w:r>
            <w:proofErr w:type="spellStart"/>
            <w:r w:rsidRPr="00B75CA7">
              <w:rPr>
                <w:sz w:val="24"/>
                <w:szCs w:val="24"/>
              </w:rPr>
              <w:t>tmmg</w:t>
            </w:r>
            <w:proofErr w:type="spellEnd"/>
            <w:r w:rsidRPr="00B75CA7">
              <w:rPr>
                <w:sz w:val="24"/>
                <w:szCs w:val="24"/>
              </w:rPr>
              <w:t xml:space="preserve"> - fascicolo personale) SIA.116.6.A.EV.S.02/</w:t>
            </w:r>
            <w:proofErr w:type="gramStart"/>
            <w:r w:rsidRPr="00B75CA7">
              <w:rPr>
                <w:sz w:val="24"/>
                <w:szCs w:val="24"/>
              </w:rPr>
              <w:t>22.P</w:t>
            </w:r>
            <w:proofErr w:type="gramEnd"/>
          </w:p>
        </w:tc>
      </w:tr>
      <w:tr w:rsidR="00897775" w:rsidRPr="00703853" w14:paraId="75BB43CD" w14:textId="77777777" w:rsidTr="00087E49">
        <w:trPr>
          <w:trHeight w:val="791"/>
        </w:trPr>
        <w:tc>
          <w:tcPr>
            <w:tcW w:w="3961" w:type="dxa"/>
            <w:shd w:val="clear" w:color="auto" w:fill="DBE5F1" w:themeFill="accent1" w:themeFillTint="33"/>
            <w:vAlign w:val="center"/>
          </w:tcPr>
          <w:p w14:paraId="672E28B8" w14:textId="77777777" w:rsidR="00897775" w:rsidRPr="005906E3" w:rsidRDefault="002F7EE0">
            <w:pPr>
              <w:pStyle w:val="TableParagraph"/>
              <w:spacing w:line="251" w:lineRule="exact"/>
              <w:ind w:right="92"/>
              <w:jc w:val="right"/>
              <w:rPr>
                <w:sz w:val="24"/>
                <w:szCs w:val="24"/>
              </w:rPr>
            </w:pPr>
            <w:r w:rsidRPr="005906E3">
              <w:rPr>
                <w:sz w:val="24"/>
                <w:szCs w:val="24"/>
              </w:rPr>
              <w:t>Codice</w:t>
            </w:r>
            <w:r w:rsidRPr="005906E3">
              <w:rPr>
                <w:spacing w:val="-5"/>
                <w:sz w:val="24"/>
                <w:szCs w:val="24"/>
              </w:rPr>
              <w:t xml:space="preserve"> </w:t>
            </w:r>
            <w:r w:rsidRPr="005906E3">
              <w:rPr>
                <w:sz w:val="24"/>
                <w:szCs w:val="24"/>
              </w:rPr>
              <w:t>contratto</w:t>
            </w:r>
            <w:r w:rsidRPr="005906E3">
              <w:rPr>
                <w:spacing w:val="-3"/>
                <w:sz w:val="24"/>
                <w:szCs w:val="24"/>
              </w:rPr>
              <w:t xml:space="preserve"> </w:t>
            </w:r>
            <w:r w:rsidRPr="005906E3">
              <w:rPr>
                <w:sz w:val="24"/>
                <w:szCs w:val="24"/>
              </w:rPr>
              <w:t>(CIG,</w:t>
            </w:r>
            <w:r w:rsidRPr="005906E3">
              <w:rPr>
                <w:spacing w:val="-4"/>
                <w:sz w:val="24"/>
                <w:szCs w:val="24"/>
              </w:rPr>
              <w:t xml:space="preserve"> </w:t>
            </w:r>
            <w:r w:rsidRPr="005906E3">
              <w:rPr>
                <w:sz w:val="24"/>
                <w:szCs w:val="24"/>
              </w:rPr>
              <w:t>REP,</w:t>
            </w:r>
            <w:r w:rsidRPr="005906E3">
              <w:rPr>
                <w:spacing w:val="-3"/>
                <w:sz w:val="24"/>
                <w:szCs w:val="24"/>
              </w:rPr>
              <w:t xml:space="preserve"> </w:t>
            </w:r>
            <w:r w:rsidRPr="005906E3">
              <w:rPr>
                <w:sz w:val="24"/>
                <w:szCs w:val="24"/>
              </w:rPr>
              <w:t>ovvero</w:t>
            </w:r>
          </w:p>
          <w:p w14:paraId="70DCFB46" w14:textId="77777777" w:rsidR="00897775" w:rsidRPr="005906E3" w:rsidRDefault="002F7EE0">
            <w:pPr>
              <w:pStyle w:val="TableParagraph"/>
              <w:spacing w:before="19"/>
              <w:ind w:right="91"/>
              <w:jc w:val="right"/>
              <w:rPr>
                <w:sz w:val="24"/>
                <w:szCs w:val="24"/>
              </w:rPr>
            </w:pPr>
            <w:r w:rsidRPr="005906E3">
              <w:rPr>
                <w:sz w:val="24"/>
                <w:szCs w:val="24"/>
              </w:rPr>
              <w:t>codice</w:t>
            </w:r>
            <w:r w:rsidRPr="005906E3">
              <w:rPr>
                <w:spacing w:val="-7"/>
                <w:sz w:val="24"/>
                <w:szCs w:val="24"/>
              </w:rPr>
              <w:t xml:space="preserve"> </w:t>
            </w:r>
            <w:r w:rsidRPr="005906E3">
              <w:rPr>
                <w:sz w:val="24"/>
                <w:szCs w:val="24"/>
              </w:rPr>
              <w:t>interno)</w:t>
            </w:r>
          </w:p>
        </w:tc>
        <w:tc>
          <w:tcPr>
            <w:tcW w:w="5145" w:type="dxa"/>
            <w:vAlign w:val="center"/>
          </w:tcPr>
          <w:p w14:paraId="68A0A3DD" w14:textId="2A4E26F6" w:rsidR="00897775" w:rsidRPr="005906E3" w:rsidRDefault="00B75CA7" w:rsidP="00B22C57">
            <w:pPr>
              <w:pStyle w:val="TableParagraph"/>
              <w:jc w:val="both"/>
              <w:rPr>
                <w:sz w:val="24"/>
                <w:szCs w:val="24"/>
              </w:rPr>
            </w:pPr>
            <w:r w:rsidRPr="00B75CA7">
              <w:rPr>
                <w:sz w:val="24"/>
                <w:szCs w:val="24"/>
              </w:rPr>
              <w:t>8989721872</w:t>
            </w:r>
          </w:p>
        </w:tc>
      </w:tr>
      <w:tr w:rsidR="00897775" w:rsidRPr="00703853" w14:paraId="0410AD73" w14:textId="77777777" w:rsidTr="00087E49">
        <w:trPr>
          <w:trHeight w:val="791"/>
        </w:trPr>
        <w:tc>
          <w:tcPr>
            <w:tcW w:w="3961" w:type="dxa"/>
            <w:shd w:val="clear" w:color="auto" w:fill="DBE5F1" w:themeFill="accent1" w:themeFillTint="33"/>
            <w:vAlign w:val="center"/>
          </w:tcPr>
          <w:p w14:paraId="2C250C9B" w14:textId="77777777" w:rsidR="00897775" w:rsidRPr="005906E3" w:rsidRDefault="002F7EE0">
            <w:pPr>
              <w:pStyle w:val="TableParagraph"/>
              <w:spacing w:line="251" w:lineRule="exact"/>
              <w:ind w:right="92"/>
              <w:jc w:val="right"/>
              <w:rPr>
                <w:sz w:val="24"/>
                <w:szCs w:val="24"/>
              </w:rPr>
            </w:pPr>
            <w:r w:rsidRPr="005906E3">
              <w:rPr>
                <w:sz w:val="24"/>
                <w:szCs w:val="24"/>
              </w:rPr>
              <w:t>RUP</w:t>
            </w:r>
            <w:r w:rsidRPr="005906E3">
              <w:rPr>
                <w:spacing w:val="-4"/>
                <w:sz w:val="24"/>
                <w:szCs w:val="24"/>
              </w:rPr>
              <w:t xml:space="preserve"> </w:t>
            </w:r>
            <w:r w:rsidRPr="005906E3">
              <w:rPr>
                <w:sz w:val="24"/>
                <w:szCs w:val="24"/>
              </w:rPr>
              <w:t>–</w:t>
            </w:r>
            <w:r w:rsidRPr="005906E3">
              <w:rPr>
                <w:spacing w:val="-4"/>
                <w:sz w:val="24"/>
                <w:szCs w:val="24"/>
              </w:rPr>
              <w:t xml:space="preserve"> </w:t>
            </w:r>
            <w:r w:rsidRPr="005906E3">
              <w:rPr>
                <w:sz w:val="24"/>
                <w:szCs w:val="24"/>
              </w:rPr>
              <w:t>Responsabile</w:t>
            </w:r>
            <w:r w:rsidRPr="005906E3">
              <w:rPr>
                <w:spacing w:val="-5"/>
                <w:sz w:val="24"/>
                <w:szCs w:val="24"/>
              </w:rPr>
              <w:t xml:space="preserve"> </w:t>
            </w:r>
            <w:r w:rsidRPr="005906E3">
              <w:rPr>
                <w:sz w:val="24"/>
                <w:szCs w:val="24"/>
              </w:rPr>
              <w:t>Unico</w:t>
            </w:r>
            <w:r w:rsidRPr="005906E3">
              <w:rPr>
                <w:spacing w:val="-4"/>
                <w:sz w:val="24"/>
                <w:szCs w:val="24"/>
              </w:rPr>
              <w:t xml:space="preserve"> </w:t>
            </w:r>
            <w:r w:rsidRPr="005906E3">
              <w:rPr>
                <w:sz w:val="24"/>
                <w:szCs w:val="24"/>
              </w:rPr>
              <w:t>del</w:t>
            </w:r>
          </w:p>
          <w:p w14:paraId="246156F9" w14:textId="77777777" w:rsidR="00897775" w:rsidRPr="005906E3" w:rsidRDefault="002F7EE0">
            <w:pPr>
              <w:pStyle w:val="TableParagraph"/>
              <w:spacing w:before="20"/>
              <w:ind w:right="92"/>
              <w:jc w:val="right"/>
              <w:rPr>
                <w:sz w:val="24"/>
                <w:szCs w:val="24"/>
              </w:rPr>
            </w:pPr>
            <w:r w:rsidRPr="005906E3">
              <w:rPr>
                <w:sz w:val="24"/>
                <w:szCs w:val="24"/>
              </w:rPr>
              <w:t>Procedimento</w:t>
            </w:r>
          </w:p>
        </w:tc>
        <w:tc>
          <w:tcPr>
            <w:tcW w:w="5145" w:type="dxa"/>
            <w:vAlign w:val="center"/>
          </w:tcPr>
          <w:p w14:paraId="45525EEE" w14:textId="770858C1" w:rsidR="00897775" w:rsidRPr="005906E3" w:rsidRDefault="00B75CA7" w:rsidP="00B22C57">
            <w:pPr>
              <w:pStyle w:val="TableParagraph"/>
              <w:jc w:val="both"/>
              <w:rPr>
                <w:sz w:val="24"/>
                <w:szCs w:val="24"/>
              </w:rPr>
            </w:pPr>
            <w:r>
              <w:rPr>
                <w:sz w:val="24"/>
                <w:szCs w:val="24"/>
              </w:rPr>
              <w:t>Marta Nicoletti Altimari</w:t>
            </w:r>
          </w:p>
        </w:tc>
      </w:tr>
      <w:tr w:rsidR="00897775" w:rsidRPr="00703853" w14:paraId="7388DF9E" w14:textId="77777777" w:rsidTr="00087E49">
        <w:trPr>
          <w:trHeight w:val="499"/>
        </w:trPr>
        <w:tc>
          <w:tcPr>
            <w:tcW w:w="3961" w:type="dxa"/>
            <w:shd w:val="clear" w:color="auto" w:fill="DBE5F1" w:themeFill="accent1" w:themeFillTint="33"/>
            <w:vAlign w:val="center"/>
          </w:tcPr>
          <w:p w14:paraId="0EDAD837" w14:textId="77777777" w:rsidR="00897775" w:rsidRPr="005906E3" w:rsidRDefault="002F7EE0">
            <w:pPr>
              <w:pStyle w:val="TableParagraph"/>
              <w:spacing w:line="253" w:lineRule="exact"/>
              <w:ind w:right="94"/>
              <w:jc w:val="right"/>
              <w:rPr>
                <w:sz w:val="24"/>
                <w:szCs w:val="24"/>
              </w:rPr>
            </w:pPr>
            <w:r w:rsidRPr="005906E3">
              <w:rPr>
                <w:sz w:val="24"/>
                <w:szCs w:val="24"/>
              </w:rPr>
              <w:t>DEC</w:t>
            </w:r>
            <w:r w:rsidRPr="005906E3">
              <w:rPr>
                <w:spacing w:val="-3"/>
                <w:sz w:val="24"/>
                <w:szCs w:val="24"/>
              </w:rPr>
              <w:t xml:space="preserve"> </w:t>
            </w:r>
            <w:r w:rsidRPr="005906E3">
              <w:rPr>
                <w:sz w:val="24"/>
                <w:szCs w:val="24"/>
              </w:rPr>
              <w:t>–</w:t>
            </w:r>
            <w:r w:rsidRPr="005906E3">
              <w:rPr>
                <w:spacing w:val="-3"/>
                <w:sz w:val="24"/>
                <w:szCs w:val="24"/>
              </w:rPr>
              <w:t xml:space="preserve"> </w:t>
            </w:r>
            <w:r w:rsidRPr="005906E3">
              <w:rPr>
                <w:sz w:val="24"/>
                <w:szCs w:val="24"/>
              </w:rPr>
              <w:t>Direttore</w:t>
            </w:r>
            <w:r w:rsidRPr="005906E3">
              <w:rPr>
                <w:spacing w:val="-3"/>
                <w:sz w:val="24"/>
                <w:szCs w:val="24"/>
              </w:rPr>
              <w:t xml:space="preserve"> </w:t>
            </w:r>
            <w:r w:rsidRPr="005906E3">
              <w:rPr>
                <w:sz w:val="24"/>
                <w:szCs w:val="24"/>
              </w:rPr>
              <w:t>dell’Esecuzione</w:t>
            </w:r>
          </w:p>
        </w:tc>
        <w:tc>
          <w:tcPr>
            <w:tcW w:w="5145" w:type="dxa"/>
            <w:vAlign w:val="center"/>
          </w:tcPr>
          <w:p w14:paraId="7CA57BBC" w14:textId="667B8BEE" w:rsidR="00897775" w:rsidRPr="005906E3" w:rsidRDefault="00B75CA7" w:rsidP="00B22C57">
            <w:pPr>
              <w:pStyle w:val="TableParagraph"/>
              <w:jc w:val="both"/>
              <w:rPr>
                <w:sz w:val="24"/>
                <w:szCs w:val="24"/>
              </w:rPr>
            </w:pPr>
            <w:r>
              <w:rPr>
                <w:sz w:val="24"/>
                <w:szCs w:val="24"/>
              </w:rPr>
              <w:t>Francesco Antonio Grippo</w:t>
            </w:r>
          </w:p>
        </w:tc>
      </w:tr>
      <w:tr w:rsidR="00897775" w:rsidRPr="00703853" w14:paraId="7FCA73E7" w14:textId="77777777" w:rsidTr="00087E49">
        <w:trPr>
          <w:trHeight w:val="500"/>
        </w:trPr>
        <w:tc>
          <w:tcPr>
            <w:tcW w:w="3961" w:type="dxa"/>
            <w:shd w:val="clear" w:color="auto" w:fill="DBE5F1" w:themeFill="accent1" w:themeFillTint="33"/>
            <w:vAlign w:val="center"/>
          </w:tcPr>
          <w:p w14:paraId="64F7A835" w14:textId="77777777" w:rsidR="00897775" w:rsidRPr="005906E3" w:rsidRDefault="002F7EE0">
            <w:pPr>
              <w:pStyle w:val="TableParagraph"/>
              <w:spacing w:line="253" w:lineRule="exact"/>
              <w:ind w:right="93"/>
              <w:jc w:val="right"/>
              <w:rPr>
                <w:sz w:val="24"/>
                <w:szCs w:val="24"/>
              </w:rPr>
            </w:pPr>
            <w:r w:rsidRPr="005906E3">
              <w:rPr>
                <w:sz w:val="24"/>
                <w:szCs w:val="24"/>
              </w:rPr>
              <w:t>Denominazione</w:t>
            </w:r>
            <w:r w:rsidRPr="005906E3">
              <w:rPr>
                <w:spacing w:val="-5"/>
                <w:sz w:val="24"/>
                <w:szCs w:val="24"/>
              </w:rPr>
              <w:t xml:space="preserve"> </w:t>
            </w:r>
            <w:r w:rsidRPr="005906E3">
              <w:rPr>
                <w:sz w:val="24"/>
                <w:szCs w:val="24"/>
              </w:rPr>
              <w:t>del</w:t>
            </w:r>
            <w:r w:rsidRPr="005906E3">
              <w:rPr>
                <w:spacing w:val="-3"/>
                <w:sz w:val="24"/>
                <w:szCs w:val="24"/>
              </w:rPr>
              <w:t xml:space="preserve"> </w:t>
            </w:r>
            <w:r w:rsidRPr="005906E3">
              <w:rPr>
                <w:sz w:val="24"/>
                <w:szCs w:val="24"/>
              </w:rPr>
              <w:t>Fornitore</w:t>
            </w:r>
          </w:p>
        </w:tc>
        <w:tc>
          <w:tcPr>
            <w:tcW w:w="5145" w:type="dxa"/>
            <w:vAlign w:val="center"/>
          </w:tcPr>
          <w:p w14:paraId="0BFCE42E" w14:textId="72356BC2" w:rsidR="00897775" w:rsidRPr="005906E3" w:rsidRDefault="00B75CA7" w:rsidP="00B22C57">
            <w:pPr>
              <w:pStyle w:val="TableParagraph"/>
              <w:jc w:val="both"/>
              <w:rPr>
                <w:sz w:val="24"/>
                <w:szCs w:val="24"/>
              </w:rPr>
            </w:pPr>
            <w:r w:rsidRPr="00B75CA7">
              <w:rPr>
                <w:sz w:val="24"/>
                <w:szCs w:val="24"/>
              </w:rPr>
              <w:t>RTI E</w:t>
            </w:r>
            <w:r>
              <w:rPr>
                <w:sz w:val="24"/>
                <w:szCs w:val="24"/>
              </w:rPr>
              <w:t xml:space="preserve">nterprise Services </w:t>
            </w:r>
            <w:r w:rsidRPr="00B75CA7">
              <w:rPr>
                <w:sz w:val="24"/>
                <w:szCs w:val="24"/>
              </w:rPr>
              <w:t>I</w:t>
            </w:r>
            <w:r>
              <w:rPr>
                <w:sz w:val="24"/>
                <w:szCs w:val="24"/>
              </w:rPr>
              <w:t xml:space="preserve">talia </w:t>
            </w:r>
            <w:proofErr w:type="spellStart"/>
            <w:r w:rsidRPr="00B75CA7">
              <w:rPr>
                <w:sz w:val="24"/>
                <w:szCs w:val="24"/>
              </w:rPr>
              <w:t>S</w:t>
            </w:r>
            <w:r>
              <w:rPr>
                <w:sz w:val="24"/>
                <w:szCs w:val="24"/>
              </w:rPr>
              <w:t>rl</w:t>
            </w:r>
            <w:proofErr w:type="spellEnd"/>
            <w:r w:rsidRPr="00B75CA7">
              <w:rPr>
                <w:sz w:val="24"/>
                <w:szCs w:val="24"/>
              </w:rPr>
              <w:t xml:space="preserve"> </w:t>
            </w:r>
            <w:r>
              <w:rPr>
                <w:sz w:val="24"/>
                <w:szCs w:val="24"/>
              </w:rPr>
              <w:t>–</w:t>
            </w:r>
            <w:r w:rsidRPr="00B75CA7">
              <w:rPr>
                <w:sz w:val="24"/>
                <w:szCs w:val="24"/>
              </w:rPr>
              <w:t xml:space="preserve"> </w:t>
            </w:r>
            <w:proofErr w:type="spellStart"/>
            <w:r w:rsidRPr="00B75CA7">
              <w:rPr>
                <w:sz w:val="24"/>
                <w:szCs w:val="24"/>
              </w:rPr>
              <w:t>E</w:t>
            </w:r>
            <w:r>
              <w:rPr>
                <w:sz w:val="24"/>
                <w:szCs w:val="24"/>
              </w:rPr>
              <w:t>ustema</w:t>
            </w:r>
            <w:proofErr w:type="spellEnd"/>
            <w:r>
              <w:rPr>
                <w:sz w:val="24"/>
                <w:szCs w:val="24"/>
              </w:rPr>
              <w:t xml:space="preserve"> </w:t>
            </w:r>
            <w:r w:rsidRPr="00B75CA7">
              <w:rPr>
                <w:sz w:val="24"/>
                <w:szCs w:val="24"/>
              </w:rPr>
              <w:t>S</w:t>
            </w:r>
            <w:r>
              <w:rPr>
                <w:sz w:val="24"/>
                <w:szCs w:val="24"/>
              </w:rPr>
              <w:t xml:space="preserve">pa </w:t>
            </w:r>
            <w:r w:rsidRPr="00B75CA7">
              <w:rPr>
                <w:sz w:val="24"/>
                <w:szCs w:val="24"/>
              </w:rPr>
              <w:t>- N</w:t>
            </w:r>
            <w:r>
              <w:rPr>
                <w:sz w:val="24"/>
                <w:szCs w:val="24"/>
              </w:rPr>
              <w:t>et</w:t>
            </w:r>
            <w:r w:rsidRPr="00B75CA7">
              <w:rPr>
                <w:sz w:val="24"/>
                <w:szCs w:val="24"/>
              </w:rPr>
              <w:t xml:space="preserve"> S</w:t>
            </w:r>
            <w:r>
              <w:rPr>
                <w:sz w:val="24"/>
                <w:szCs w:val="24"/>
              </w:rPr>
              <w:t xml:space="preserve">ervice </w:t>
            </w:r>
            <w:r w:rsidRPr="00B75CA7">
              <w:rPr>
                <w:sz w:val="24"/>
                <w:szCs w:val="24"/>
              </w:rPr>
              <w:t>S</w:t>
            </w:r>
            <w:r>
              <w:rPr>
                <w:sz w:val="24"/>
                <w:szCs w:val="24"/>
              </w:rPr>
              <w:t xml:space="preserve">pa </w:t>
            </w:r>
            <w:r w:rsidRPr="00B75CA7">
              <w:rPr>
                <w:sz w:val="24"/>
                <w:szCs w:val="24"/>
              </w:rPr>
              <w:t>- DGS S</w:t>
            </w:r>
            <w:r>
              <w:rPr>
                <w:sz w:val="24"/>
                <w:szCs w:val="24"/>
              </w:rPr>
              <w:t>pa –</w:t>
            </w:r>
            <w:r w:rsidRPr="00B75CA7">
              <w:rPr>
                <w:sz w:val="24"/>
                <w:szCs w:val="24"/>
              </w:rPr>
              <w:t xml:space="preserve"> </w:t>
            </w:r>
            <w:proofErr w:type="spellStart"/>
            <w:r w:rsidRPr="00B75CA7">
              <w:rPr>
                <w:sz w:val="24"/>
                <w:szCs w:val="24"/>
              </w:rPr>
              <w:t>C</w:t>
            </w:r>
            <w:r>
              <w:rPr>
                <w:sz w:val="24"/>
                <w:szCs w:val="24"/>
              </w:rPr>
              <w:t>laranet</w:t>
            </w:r>
            <w:proofErr w:type="spellEnd"/>
            <w:r>
              <w:rPr>
                <w:sz w:val="24"/>
                <w:szCs w:val="24"/>
              </w:rPr>
              <w:t xml:space="preserve"> </w:t>
            </w:r>
            <w:proofErr w:type="spellStart"/>
            <w:r w:rsidRPr="00B75CA7">
              <w:rPr>
                <w:sz w:val="24"/>
                <w:szCs w:val="24"/>
              </w:rPr>
              <w:t>S</w:t>
            </w:r>
            <w:r>
              <w:rPr>
                <w:sz w:val="24"/>
                <w:szCs w:val="24"/>
              </w:rPr>
              <w:t>rl</w:t>
            </w:r>
            <w:proofErr w:type="spellEnd"/>
            <w:r w:rsidRPr="00B75CA7">
              <w:rPr>
                <w:sz w:val="24"/>
                <w:szCs w:val="24"/>
              </w:rPr>
              <w:t xml:space="preserve"> </w:t>
            </w:r>
            <w:r>
              <w:rPr>
                <w:sz w:val="24"/>
                <w:szCs w:val="24"/>
              </w:rPr>
              <w:t>–</w:t>
            </w:r>
            <w:r w:rsidRPr="00B75CA7">
              <w:rPr>
                <w:sz w:val="24"/>
                <w:szCs w:val="24"/>
              </w:rPr>
              <w:t xml:space="preserve"> </w:t>
            </w:r>
            <w:proofErr w:type="spellStart"/>
            <w:r w:rsidRPr="00B75CA7">
              <w:rPr>
                <w:sz w:val="24"/>
                <w:szCs w:val="24"/>
              </w:rPr>
              <w:t>D</w:t>
            </w:r>
            <w:r>
              <w:rPr>
                <w:sz w:val="24"/>
                <w:szCs w:val="24"/>
              </w:rPr>
              <w:t>atamagement</w:t>
            </w:r>
            <w:proofErr w:type="spellEnd"/>
            <w:r>
              <w:rPr>
                <w:sz w:val="24"/>
                <w:szCs w:val="24"/>
              </w:rPr>
              <w:t xml:space="preserve"> </w:t>
            </w:r>
            <w:r w:rsidRPr="00B75CA7">
              <w:rPr>
                <w:sz w:val="24"/>
                <w:szCs w:val="24"/>
              </w:rPr>
              <w:t>S</w:t>
            </w:r>
            <w:r>
              <w:rPr>
                <w:sz w:val="24"/>
                <w:szCs w:val="24"/>
              </w:rPr>
              <w:t>pa</w:t>
            </w:r>
            <w:r w:rsidRPr="00B75CA7">
              <w:rPr>
                <w:sz w:val="24"/>
                <w:szCs w:val="24"/>
              </w:rPr>
              <w:t xml:space="preserve"> </w:t>
            </w:r>
            <w:r>
              <w:rPr>
                <w:sz w:val="24"/>
                <w:szCs w:val="24"/>
              </w:rPr>
              <w:t>–</w:t>
            </w:r>
            <w:r w:rsidRPr="00B75CA7">
              <w:rPr>
                <w:sz w:val="24"/>
                <w:szCs w:val="24"/>
              </w:rPr>
              <w:t xml:space="preserve"> P</w:t>
            </w:r>
            <w:r>
              <w:rPr>
                <w:sz w:val="24"/>
                <w:szCs w:val="24"/>
              </w:rPr>
              <w:t xml:space="preserve">arsec </w:t>
            </w:r>
            <w:r w:rsidRPr="00B75CA7">
              <w:rPr>
                <w:sz w:val="24"/>
                <w:szCs w:val="24"/>
              </w:rPr>
              <w:t xml:space="preserve">3.26 </w:t>
            </w:r>
            <w:proofErr w:type="spellStart"/>
            <w:r w:rsidRPr="00B75CA7">
              <w:rPr>
                <w:sz w:val="24"/>
                <w:szCs w:val="24"/>
              </w:rPr>
              <w:t>S</w:t>
            </w:r>
            <w:r>
              <w:rPr>
                <w:sz w:val="24"/>
                <w:szCs w:val="24"/>
              </w:rPr>
              <w:t>rl</w:t>
            </w:r>
            <w:proofErr w:type="spellEnd"/>
            <w:r w:rsidRPr="00B75CA7">
              <w:rPr>
                <w:sz w:val="24"/>
                <w:szCs w:val="24"/>
              </w:rPr>
              <w:t xml:space="preserve"> </w:t>
            </w:r>
            <w:r>
              <w:rPr>
                <w:sz w:val="24"/>
                <w:szCs w:val="24"/>
              </w:rPr>
              <w:t>–</w:t>
            </w:r>
            <w:r w:rsidRPr="00B75CA7">
              <w:rPr>
                <w:sz w:val="24"/>
                <w:szCs w:val="24"/>
              </w:rPr>
              <w:t xml:space="preserve"> S</w:t>
            </w:r>
            <w:r>
              <w:rPr>
                <w:sz w:val="24"/>
                <w:szCs w:val="24"/>
              </w:rPr>
              <w:t xml:space="preserve">icilia </w:t>
            </w:r>
            <w:proofErr w:type="spellStart"/>
            <w:proofErr w:type="gramStart"/>
            <w:r w:rsidRPr="00B75CA7">
              <w:rPr>
                <w:sz w:val="24"/>
                <w:szCs w:val="24"/>
              </w:rPr>
              <w:t>S.T</w:t>
            </w:r>
            <w:r>
              <w:rPr>
                <w:sz w:val="24"/>
                <w:szCs w:val="24"/>
              </w:rPr>
              <w:t>ecnol</w:t>
            </w:r>
            <w:proofErr w:type="spellEnd"/>
            <w:proofErr w:type="gramEnd"/>
            <w:r w:rsidRPr="00B75CA7">
              <w:rPr>
                <w:sz w:val="24"/>
                <w:szCs w:val="24"/>
              </w:rPr>
              <w:t xml:space="preserve">. </w:t>
            </w:r>
            <w:proofErr w:type="spellStart"/>
            <w:r w:rsidRPr="00B75CA7">
              <w:rPr>
                <w:sz w:val="24"/>
                <w:szCs w:val="24"/>
              </w:rPr>
              <w:t>S</w:t>
            </w:r>
            <w:r>
              <w:rPr>
                <w:sz w:val="24"/>
                <w:szCs w:val="24"/>
              </w:rPr>
              <w:t>rl</w:t>
            </w:r>
            <w:proofErr w:type="spellEnd"/>
          </w:p>
        </w:tc>
      </w:tr>
      <w:tr w:rsidR="00897775" w:rsidRPr="00703853" w14:paraId="38EDFD4B" w14:textId="77777777" w:rsidTr="00087E49">
        <w:trPr>
          <w:trHeight w:val="502"/>
        </w:trPr>
        <w:tc>
          <w:tcPr>
            <w:tcW w:w="3961" w:type="dxa"/>
            <w:shd w:val="clear" w:color="auto" w:fill="DBE5F1" w:themeFill="accent1" w:themeFillTint="33"/>
            <w:vAlign w:val="center"/>
          </w:tcPr>
          <w:p w14:paraId="14CD51CB" w14:textId="77777777" w:rsidR="00897775" w:rsidRPr="005906E3" w:rsidRDefault="002F7EE0">
            <w:pPr>
              <w:pStyle w:val="TableParagraph"/>
              <w:spacing w:line="253" w:lineRule="exact"/>
              <w:ind w:right="92"/>
              <w:jc w:val="right"/>
              <w:rPr>
                <w:sz w:val="24"/>
                <w:szCs w:val="24"/>
              </w:rPr>
            </w:pPr>
            <w:r w:rsidRPr="005906E3">
              <w:rPr>
                <w:sz w:val="24"/>
                <w:szCs w:val="24"/>
              </w:rPr>
              <w:t>Data</w:t>
            </w:r>
            <w:r w:rsidRPr="005906E3">
              <w:rPr>
                <w:spacing w:val="-4"/>
                <w:sz w:val="24"/>
                <w:szCs w:val="24"/>
              </w:rPr>
              <w:t xml:space="preserve"> </w:t>
            </w:r>
            <w:r w:rsidRPr="005906E3">
              <w:rPr>
                <w:sz w:val="24"/>
                <w:szCs w:val="24"/>
              </w:rPr>
              <w:t>stipula</w:t>
            </w:r>
          </w:p>
        </w:tc>
        <w:tc>
          <w:tcPr>
            <w:tcW w:w="5145" w:type="dxa"/>
            <w:vAlign w:val="center"/>
          </w:tcPr>
          <w:p w14:paraId="23C78960" w14:textId="228E8D2A" w:rsidR="00897775" w:rsidRPr="005906E3" w:rsidRDefault="00C42828" w:rsidP="00B22C57">
            <w:pPr>
              <w:pStyle w:val="TableParagraph"/>
              <w:jc w:val="both"/>
              <w:rPr>
                <w:sz w:val="24"/>
                <w:szCs w:val="24"/>
              </w:rPr>
            </w:pPr>
            <w:r>
              <w:rPr>
                <w:sz w:val="24"/>
                <w:szCs w:val="24"/>
              </w:rPr>
              <w:t>14/02</w:t>
            </w:r>
            <w:r w:rsidR="00B75CA7" w:rsidRPr="00B75CA7">
              <w:rPr>
                <w:sz w:val="24"/>
                <w:szCs w:val="24"/>
              </w:rPr>
              <w:t>/202</w:t>
            </w:r>
            <w:r>
              <w:rPr>
                <w:sz w:val="24"/>
                <w:szCs w:val="24"/>
              </w:rPr>
              <w:t>2</w:t>
            </w:r>
          </w:p>
        </w:tc>
      </w:tr>
      <w:tr w:rsidR="00897775" w:rsidRPr="00703853" w14:paraId="1F68C037" w14:textId="77777777" w:rsidTr="00087E49">
        <w:trPr>
          <w:trHeight w:val="502"/>
        </w:trPr>
        <w:tc>
          <w:tcPr>
            <w:tcW w:w="3961" w:type="dxa"/>
            <w:shd w:val="clear" w:color="auto" w:fill="DBE5F1" w:themeFill="accent1" w:themeFillTint="33"/>
            <w:vAlign w:val="center"/>
          </w:tcPr>
          <w:p w14:paraId="1D1B02C9"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1"/>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attività</w:t>
            </w:r>
          </w:p>
        </w:tc>
        <w:tc>
          <w:tcPr>
            <w:tcW w:w="5145" w:type="dxa"/>
            <w:vAlign w:val="center"/>
          </w:tcPr>
          <w:p w14:paraId="30469902" w14:textId="22FCBABD" w:rsidR="00897775" w:rsidRPr="005906E3" w:rsidRDefault="00B75CA7" w:rsidP="00B22C57">
            <w:pPr>
              <w:pStyle w:val="TableParagraph"/>
              <w:jc w:val="both"/>
              <w:rPr>
                <w:sz w:val="24"/>
                <w:szCs w:val="24"/>
              </w:rPr>
            </w:pPr>
            <w:r>
              <w:rPr>
                <w:sz w:val="24"/>
                <w:szCs w:val="24"/>
              </w:rPr>
              <w:t>03/08/2022 – 17/07/2025</w:t>
            </w:r>
          </w:p>
        </w:tc>
      </w:tr>
      <w:tr w:rsidR="00897775" w:rsidRPr="00703853" w14:paraId="76C09A00" w14:textId="77777777" w:rsidTr="00087E49">
        <w:trPr>
          <w:trHeight w:val="498"/>
        </w:trPr>
        <w:tc>
          <w:tcPr>
            <w:tcW w:w="3961" w:type="dxa"/>
            <w:shd w:val="clear" w:color="auto" w:fill="DBE5F1" w:themeFill="accent1" w:themeFillTint="33"/>
            <w:vAlign w:val="center"/>
          </w:tcPr>
          <w:p w14:paraId="10A2B355" w14:textId="77777777" w:rsidR="00897775" w:rsidRPr="005906E3" w:rsidRDefault="002F7EE0">
            <w:pPr>
              <w:pStyle w:val="TableParagraph"/>
              <w:spacing w:line="251" w:lineRule="exact"/>
              <w:ind w:right="94"/>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p>
        </w:tc>
        <w:tc>
          <w:tcPr>
            <w:tcW w:w="5145" w:type="dxa"/>
            <w:vAlign w:val="center"/>
          </w:tcPr>
          <w:p w14:paraId="4CC683F1" w14:textId="7FA15234" w:rsidR="00F37C1F" w:rsidRPr="005906E3" w:rsidRDefault="00B75CA7" w:rsidP="00B22C57">
            <w:pPr>
              <w:jc w:val="both"/>
              <w:rPr>
                <w:color w:val="000000"/>
                <w:sz w:val="24"/>
                <w:szCs w:val="24"/>
              </w:rPr>
            </w:pPr>
            <w:r w:rsidRPr="00B75CA7">
              <w:rPr>
                <w:color w:val="000000"/>
                <w:sz w:val="24"/>
                <w:szCs w:val="24"/>
              </w:rPr>
              <w:t>25</w:t>
            </w:r>
            <w:r>
              <w:rPr>
                <w:color w:val="000000"/>
                <w:sz w:val="24"/>
                <w:szCs w:val="24"/>
              </w:rPr>
              <w:t>.</w:t>
            </w:r>
            <w:r w:rsidRPr="00B75CA7">
              <w:rPr>
                <w:color w:val="000000"/>
                <w:sz w:val="24"/>
                <w:szCs w:val="24"/>
              </w:rPr>
              <w:t>078</w:t>
            </w:r>
            <w:r>
              <w:rPr>
                <w:color w:val="000000"/>
                <w:sz w:val="24"/>
                <w:szCs w:val="24"/>
              </w:rPr>
              <w:t>.</w:t>
            </w:r>
            <w:r w:rsidRPr="00B75CA7">
              <w:rPr>
                <w:color w:val="000000"/>
                <w:sz w:val="24"/>
                <w:szCs w:val="24"/>
              </w:rPr>
              <w:t>044</w:t>
            </w:r>
            <w:r>
              <w:rPr>
                <w:color w:val="000000"/>
                <w:sz w:val="24"/>
                <w:szCs w:val="24"/>
              </w:rPr>
              <w:t>,00 € (IVA esclusa)</w:t>
            </w:r>
          </w:p>
        </w:tc>
      </w:tr>
      <w:tr w:rsidR="00897775" w:rsidRPr="00703853" w14:paraId="5CFB9A6C" w14:textId="77777777" w:rsidTr="00087E49">
        <w:trPr>
          <w:trHeight w:val="791"/>
        </w:trPr>
        <w:tc>
          <w:tcPr>
            <w:tcW w:w="3961" w:type="dxa"/>
            <w:shd w:val="clear" w:color="auto" w:fill="DBE5F1" w:themeFill="accent1" w:themeFillTint="33"/>
            <w:vAlign w:val="center"/>
          </w:tcPr>
          <w:p w14:paraId="31624A85" w14:textId="1AEC3466" w:rsidR="00897775" w:rsidRPr="005906E3" w:rsidRDefault="002F7EE0" w:rsidP="00F14A85">
            <w:pPr>
              <w:pStyle w:val="TableParagraph"/>
              <w:spacing w:line="251" w:lineRule="exact"/>
              <w:ind w:right="90"/>
              <w:jc w:val="right"/>
              <w:rPr>
                <w:sz w:val="24"/>
                <w:szCs w:val="24"/>
              </w:rPr>
            </w:pPr>
            <w:r w:rsidRPr="005906E3">
              <w:rPr>
                <w:sz w:val="24"/>
                <w:szCs w:val="24"/>
              </w:rPr>
              <w:t>Eventuali</w:t>
            </w:r>
            <w:r w:rsidRPr="005906E3">
              <w:rPr>
                <w:spacing w:val="-4"/>
                <w:sz w:val="24"/>
                <w:szCs w:val="24"/>
              </w:rPr>
              <w:t xml:space="preserve"> </w:t>
            </w:r>
            <w:r w:rsidRPr="005906E3">
              <w:rPr>
                <w:sz w:val="24"/>
                <w:szCs w:val="24"/>
              </w:rPr>
              <w:t>altri</w:t>
            </w:r>
            <w:r w:rsidRPr="005906E3">
              <w:rPr>
                <w:spacing w:val="-5"/>
                <w:sz w:val="24"/>
                <w:szCs w:val="24"/>
              </w:rPr>
              <w:t xml:space="preserve"> </w:t>
            </w:r>
            <w:r w:rsidRPr="005906E3">
              <w:rPr>
                <w:sz w:val="24"/>
                <w:szCs w:val="24"/>
              </w:rPr>
              <w:t>contratti</w:t>
            </w:r>
            <w:r w:rsidRPr="005906E3">
              <w:rPr>
                <w:spacing w:val="-4"/>
                <w:sz w:val="24"/>
                <w:szCs w:val="24"/>
              </w:rPr>
              <w:t xml:space="preserve"> </w:t>
            </w:r>
            <w:r w:rsidRPr="005906E3">
              <w:rPr>
                <w:sz w:val="24"/>
                <w:szCs w:val="24"/>
              </w:rPr>
              <w:t>collegati</w:t>
            </w:r>
            <w:r w:rsidRPr="005906E3">
              <w:rPr>
                <w:spacing w:val="-4"/>
                <w:sz w:val="24"/>
                <w:szCs w:val="24"/>
              </w:rPr>
              <w:t xml:space="preserve"> </w:t>
            </w:r>
            <w:r w:rsidRPr="005906E3">
              <w:rPr>
                <w:sz w:val="24"/>
                <w:szCs w:val="24"/>
              </w:rPr>
              <w:t>(quinto</w:t>
            </w:r>
            <w:r w:rsidR="00F14A85">
              <w:rPr>
                <w:sz w:val="24"/>
                <w:szCs w:val="24"/>
              </w:rPr>
              <w:t xml:space="preserve"> </w:t>
            </w:r>
            <w:r w:rsidRPr="005906E3">
              <w:rPr>
                <w:sz w:val="24"/>
                <w:szCs w:val="24"/>
              </w:rPr>
              <w:t>d’obbligo,</w:t>
            </w:r>
            <w:r w:rsidRPr="005906E3">
              <w:rPr>
                <w:spacing w:val="-6"/>
                <w:sz w:val="24"/>
                <w:szCs w:val="24"/>
              </w:rPr>
              <w:t xml:space="preserve"> </w:t>
            </w:r>
            <w:r w:rsidRPr="005906E3">
              <w:rPr>
                <w:sz w:val="24"/>
                <w:szCs w:val="24"/>
              </w:rPr>
              <w:t>atti</w:t>
            </w:r>
            <w:r w:rsidRPr="005906E3">
              <w:rPr>
                <w:spacing w:val="-6"/>
                <w:sz w:val="24"/>
                <w:szCs w:val="24"/>
              </w:rPr>
              <w:t xml:space="preserve"> </w:t>
            </w:r>
            <w:r w:rsidRPr="005906E3">
              <w:rPr>
                <w:sz w:val="24"/>
                <w:szCs w:val="24"/>
              </w:rPr>
              <w:t>aggiuntivi)</w:t>
            </w:r>
          </w:p>
        </w:tc>
        <w:tc>
          <w:tcPr>
            <w:tcW w:w="5145" w:type="dxa"/>
            <w:vAlign w:val="center"/>
          </w:tcPr>
          <w:p w14:paraId="22D192DB" w14:textId="2A12A90C" w:rsidR="00897775" w:rsidRPr="005906E3" w:rsidRDefault="00F8194A" w:rsidP="00B22C57">
            <w:pPr>
              <w:pStyle w:val="TableParagraph"/>
              <w:jc w:val="both"/>
              <w:rPr>
                <w:sz w:val="24"/>
                <w:szCs w:val="24"/>
              </w:rPr>
            </w:pPr>
            <w:r>
              <w:rPr>
                <w:sz w:val="24"/>
                <w:szCs w:val="24"/>
              </w:rPr>
              <w:t>-</w:t>
            </w:r>
          </w:p>
        </w:tc>
      </w:tr>
      <w:tr w:rsidR="00897775" w:rsidRPr="00703853" w14:paraId="7490AD98" w14:textId="77777777" w:rsidTr="00087E49">
        <w:trPr>
          <w:trHeight w:val="502"/>
        </w:trPr>
        <w:tc>
          <w:tcPr>
            <w:tcW w:w="3961" w:type="dxa"/>
            <w:shd w:val="clear" w:color="auto" w:fill="DBE5F1" w:themeFill="accent1" w:themeFillTint="33"/>
            <w:vAlign w:val="center"/>
          </w:tcPr>
          <w:p w14:paraId="3B600A49" w14:textId="77777777" w:rsidR="00897775" w:rsidRPr="005906E3" w:rsidRDefault="002F7EE0">
            <w:pPr>
              <w:pStyle w:val="TableParagraph"/>
              <w:spacing w:line="251" w:lineRule="exact"/>
              <w:ind w:right="91"/>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contratti</w:t>
            </w:r>
            <w:r w:rsidRPr="005906E3">
              <w:rPr>
                <w:spacing w:val="-5"/>
                <w:sz w:val="24"/>
                <w:szCs w:val="24"/>
              </w:rPr>
              <w:t xml:space="preserve"> </w:t>
            </w:r>
            <w:r w:rsidRPr="005906E3">
              <w:rPr>
                <w:sz w:val="24"/>
                <w:szCs w:val="24"/>
              </w:rPr>
              <w:t>collegati</w:t>
            </w:r>
          </w:p>
        </w:tc>
        <w:tc>
          <w:tcPr>
            <w:tcW w:w="5145" w:type="dxa"/>
          </w:tcPr>
          <w:p w14:paraId="6E775F52" w14:textId="28EBF1CD" w:rsidR="00897775" w:rsidRPr="005906E3" w:rsidRDefault="00F8194A" w:rsidP="00B22C57">
            <w:pPr>
              <w:pStyle w:val="TableParagraph"/>
              <w:jc w:val="both"/>
              <w:rPr>
                <w:sz w:val="24"/>
                <w:szCs w:val="24"/>
              </w:rPr>
            </w:pPr>
            <w:r>
              <w:rPr>
                <w:sz w:val="24"/>
                <w:szCs w:val="24"/>
              </w:rPr>
              <w:t>-</w:t>
            </w:r>
          </w:p>
        </w:tc>
      </w:tr>
      <w:tr w:rsidR="00897775" w:rsidRPr="00703853" w14:paraId="10CEA638" w14:textId="77777777" w:rsidTr="005878CA">
        <w:trPr>
          <w:trHeight w:val="791"/>
        </w:trPr>
        <w:tc>
          <w:tcPr>
            <w:tcW w:w="3961" w:type="dxa"/>
            <w:shd w:val="clear" w:color="auto" w:fill="DBE5F1" w:themeFill="accent1" w:themeFillTint="33"/>
            <w:vAlign w:val="center"/>
          </w:tcPr>
          <w:p w14:paraId="6D609421" w14:textId="77777777" w:rsidR="00897775" w:rsidRPr="005906E3" w:rsidRDefault="002F7EE0">
            <w:pPr>
              <w:pStyle w:val="TableParagraph"/>
              <w:spacing w:line="251" w:lineRule="exact"/>
              <w:ind w:right="95"/>
              <w:jc w:val="right"/>
              <w:rPr>
                <w:sz w:val="24"/>
                <w:szCs w:val="24"/>
              </w:rPr>
            </w:pPr>
            <w:r w:rsidRPr="005906E3">
              <w:rPr>
                <w:sz w:val="24"/>
                <w:szCs w:val="24"/>
              </w:rPr>
              <w:t>Importo</w:t>
            </w:r>
            <w:r w:rsidRPr="005906E3">
              <w:rPr>
                <w:spacing w:val="-5"/>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contratto</w:t>
            </w:r>
            <w:r w:rsidRPr="005906E3">
              <w:rPr>
                <w:spacing w:val="-5"/>
                <w:sz w:val="24"/>
                <w:szCs w:val="24"/>
              </w:rPr>
              <w:t xml:space="preserve"> </w:t>
            </w:r>
            <w:r w:rsidRPr="005906E3">
              <w:rPr>
                <w:sz w:val="24"/>
                <w:szCs w:val="24"/>
              </w:rPr>
              <w:t>base</w:t>
            </w:r>
            <w:r w:rsidRPr="005906E3">
              <w:rPr>
                <w:spacing w:val="-5"/>
                <w:sz w:val="24"/>
                <w:szCs w:val="24"/>
              </w:rPr>
              <w:t xml:space="preserve"> </w:t>
            </w:r>
            <w:r w:rsidRPr="005906E3">
              <w:rPr>
                <w:sz w:val="24"/>
                <w:szCs w:val="24"/>
              </w:rPr>
              <w:t>più</w:t>
            </w:r>
          </w:p>
          <w:p w14:paraId="2D1FB631" w14:textId="77777777" w:rsidR="00897775" w:rsidRPr="005906E3" w:rsidRDefault="002F7EE0">
            <w:pPr>
              <w:pStyle w:val="TableParagraph"/>
              <w:spacing w:before="20"/>
              <w:ind w:right="94"/>
              <w:jc w:val="right"/>
              <w:rPr>
                <w:sz w:val="24"/>
                <w:szCs w:val="24"/>
              </w:rPr>
            </w:pPr>
            <w:r w:rsidRPr="005906E3">
              <w:rPr>
                <w:sz w:val="24"/>
                <w:szCs w:val="24"/>
              </w:rPr>
              <w:t>contratti</w:t>
            </w:r>
            <w:r w:rsidRPr="005906E3">
              <w:rPr>
                <w:spacing w:val="-8"/>
                <w:sz w:val="24"/>
                <w:szCs w:val="24"/>
              </w:rPr>
              <w:t xml:space="preserve"> </w:t>
            </w:r>
            <w:r w:rsidRPr="005906E3">
              <w:rPr>
                <w:sz w:val="24"/>
                <w:szCs w:val="24"/>
              </w:rPr>
              <w:t>collegati</w:t>
            </w:r>
          </w:p>
        </w:tc>
        <w:tc>
          <w:tcPr>
            <w:tcW w:w="5145" w:type="dxa"/>
            <w:vAlign w:val="center"/>
          </w:tcPr>
          <w:p w14:paraId="349D478C" w14:textId="600182B8" w:rsidR="00897775" w:rsidRPr="005906E3" w:rsidRDefault="00CE6ACC" w:rsidP="00B22C57">
            <w:pPr>
              <w:pStyle w:val="TableParagraph"/>
              <w:jc w:val="both"/>
              <w:rPr>
                <w:sz w:val="24"/>
                <w:szCs w:val="24"/>
              </w:rPr>
            </w:pPr>
            <w:r w:rsidRPr="00B75CA7">
              <w:rPr>
                <w:color w:val="000000"/>
                <w:sz w:val="24"/>
                <w:szCs w:val="24"/>
              </w:rPr>
              <w:t>25</w:t>
            </w:r>
            <w:r>
              <w:rPr>
                <w:color w:val="000000"/>
                <w:sz w:val="24"/>
                <w:szCs w:val="24"/>
              </w:rPr>
              <w:t>.</w:t>
            </w:r>
            <w:r w:rsidRPr="00B75CA7">
              <w:rPr>
                <w:color w:val="000000"/>
                <w:sz w:val="24"/>
                <w:szCs w:val="24"/>
              </w:rPr>
              <w:t>078</w:t>
            </w:r>
            <w:r>
              <w:rPr>
                <w:color w:val="000000"/>
                <w:sz w:val="24"/>
                <w:szCs w:val="24"/>
              </w:rPr>
              <w:t>.</w:t>
            </w:r>
            <w:r w:rsidRPr="00B75CA7">
              <w:rPr>
                <w:color w:val="000000"/>
                <w:sz w:val="24"/>
                <w:szCs w:val="24"/>
              </w:rPr>
              <w:t>044</w:t>
            </w:r>
            <w:r>
              <w:rPr>
                <w:color w:val="000000"/>
                <w:sz w:val="24"/>
                <w:szCs w:val="24"/>
              </w:rPr>
              <w:t>,00 € (IVA esclusa)</w:t>
            </w:r>
          </w:p>
        </w:tc>
      </w:tr>
      <w:tr w:rsidR="00897775" w:rsidRPr="00703853" w14:paraId="3A7273BD" w14:textId="77777777" w:rsidTr="00087E49">
        <w:trPr>
          <w:trHeight w:val="502"/>
        </w:trPr>
        <w:tc>
          <w:tcPr>
            <w:tcW w:w="3961" w:type="dxa"/>
            <w:shd w:val="clear" w:color="auto" w:fill="DBE5F1" w:themeFill="accent1" w:themeFillTint="33"/>
            <w:vAlign w:val="center"/>
          </w:tcPr>
          <w:p w14:paraId="62CB7C72" w14:textId="77777777" w:rsidR="00897775" w:rsidRPr="005906E3" w:rsidRDefault="002F7EE0">
            <w:pPr>
              <w:pStyle w:val="TableParagraph"/>
              <w:spacing w:line="251" w:lineRule="exact"/>
              <w:ind w:right="94"/>
              <w:jc w:val="right"/>
              <w:rPr>
                <w:sz w:val="24"/>
                <w:szCs w:val="24"/>
              </w:rPr>
            </w:pPr>
            <w:r w:rsidRPr="005906E3">
              <w:rPr>
                <w:sz w:val="24"/>
                <w:szCs w:val="24"/>
              </w:rPr>
              <w:t>Eventuali</w:t>
            </w:r>
            <w:r w:rsidRPr="005906E3">
              <w:rPr>
                <w:spacing w:val="-4"/>
                <w:sz w:val="24"/>
                <w:szCs w:val="24"/>
              </w:rPr>
              <w:t xml:space="preserve"> </w:t>
            </w:r>
            <w:r w:rsidRPr="005906E3">
              <w:rPr>
                <w:sz w:val="24"/>
                <w:szCs w:val="24"/>
              </w:rPr>
              <w:t>proroghe</w:t>
            </w:r>
            <w:r w:rsidRPr="005906E3">
              <w:rPr>
                <w:spacing w:val="-4"/>
                <w:sz w:val="24"/>
                <w:szCs w:val="24"/>
              </w:rPr>
              <w:t xml:space="preserve"> </w:t>
            </w:r>
            <w:r w:rsidRPr="005906E3">
              <w:rPr>
                <w:sz w:val="24"/>
                <w:szCs w:val="24"/>
              </w:rPr>
              <w:t>collegate</w:t>
            </w:r>
          </w:p>
        </w:tc>
        <w:tc>
          <w:tcPr>
            <w:tcW w:w="5145" w:type="dxa"/>
          </w:tcPr>
          <w:p w14:paraId="337213E8" w14:textId="0E3CC5FC" w:rsidR="00897775" w:rsidRPr="005906E3" w:rsidRDefault="00F8194A" w:rsidP="00B22C57">
            <w:pPr>
              <w:pStyle w:val="TableParagraph"/>
              <w:jc w:val="both"/>
              <w:rPr>
                <w:sz w:val="24"/>
                <w:szCs w:val="24"/>
              </w:rPr>
            </w:pPr>
            <w:r>
              <w:rPr>
                <w:sz w:val="24"/>
                <w:szCs w:val="24"/>
              </w:rPr>
              <w:t>-</w:t>
            </w:r>
          </w:p>
        </w:tc>
      </w:tr>
      <w:tr w:rsidR="00897775" w:rsidRPr="00703853" w14:paraId="21CE5E2A" w14:textId="77777777" w:rsidTr="00087E49">
        <w:trPr>
          <w:trHeight w:val="498"/>
        </w:trPr>
        <w:tc>
          <w:tcPr>
            <w:tcW w:w="3961" w:type="dxa"/>
            <w:shd w:val="clear" w:color="auto" w:fill="DBE5F1" w:themeFill="accent1" w:themeFillTint="33"/>
            <w:vAlign w:val="center"/>
          </w:tcPr>
          <w:p w14:paraId="53CEE5F0" w14:textId="77777777" w:rsidR="00897775" w:rsidRPr="005906E3" w:rsidRDefault="002F7EE0">
            <w:pPr>
              <w:pStyle w:val="TableParagraph"/>
              <w:spacing w:line="251" w:lineRule="exact"/>
              <w:ind w:right="91"/>
              <w:jc w:val="right"/>
              <w:rPr>
                <w:sz w:val="24"/>
                <w:szCs w:val="24"/>
              </w:rPr>
            </w:pPr>
            <w:r w:rsidRPr="005906E3">
              <w:rPr>
                <w:sz w:val="24"/>
                <w:szCs w:val="24"/>
              </w:rPr>
              <w:t>Data</w:t>
            </w:r>
            <w:r w:rsidRPr="005906E3">
              <w:rPr>
                <w:spacing w:val="-3"/>
                <w:sz w:val="24"/>
                <w:szCs w:val="24"/>
              </w:rPr>
              <w:t xml:space="preserve"> </w:t>
            </w:r>
            <w:r w:rsidRPr="005906E3">
              <w:rPr>
                <w:sz w:val="24"/>
                <w:szCs w:val="24"/>
              </w:rPr>
              <w:t>stipula</w:t>
            </w:r>
            <w:r w:rsidRPr="005906E3">
              <w:rPr>
                <w:spacing w:val="-3"/>
                <w:sz w:val="24"/>
                <w:szCs w:val="24"/>
              </w:rPr>
              <w:t xml:space="preserve"> </w:t>
            </w:r>
            <w:r w:rsidRPr="005906E3">
              <w:rPr>
                <w:sz w:val="24"/>
                <w:szCs w:val="24"/>
              </w:rPr>
              <w:t>proroghe</w:t>
            </w:r>
          </w:p>
        </w:tc>
        <w:tc>
          <w:tcPr>
            <w:tcW w:w="5145" w:type="dxa"/>
          </w:tcPr>
          <w:p w14:paraId="4357FE94" w14:textId="4C841702" w:rsidR="00897775" w:rsidRPr="005906E3" w:rsidRDefault="00F8194A" w:rsidP="00B22C57">
            <w:pPr>
              <w:pStyle w:val="TableParagraph"/>
              <w:jc w:val="both"/>
              <w:rPr>
                <w:sz w:val="24"/>
                <w:szCs w:val="24"/>
              </w:rPr>
            </w:pPr>
            <w:r>
              <w:rPr>
                <w:sz w:val="24"/>
                <w:szCs w:val="24"/>
              </w:rPr>
              <w:t>-</w:t>
            </w:r>
          </w:p>
        </w:tc>
      </w:tr>
      <w:tr w:rsidR="00897775" w:rsidRPr="00703853" w14:paraId="3F781470" w14:textId="77777777" w:rsidTr="00087E49">
        <w:trPr>
          <w:trHeight w:val="502"/>
        </w:trPr>
        <w:tc>
          <w:tcPr>
            <w:tcW w:w="3961" w:type="dxa"/>
            <w:shd w:val="clear" w:color="auto" w:fill="DBE5F1" w:themeFill="accent1" w:themeFillTint="33"/>
            <w:vAlign w:val="center"/>
          </w:tcPr>
          <w:p w14:paraId="04FF4867" w14:textId="77777777" w:rsidR="00897775" w:rsidRPr="005906E3" w:rsidRDefault="002F7EE0">
            <w:pPr>
              <w:pStyle w:val="TableParagraph"/>
              <w:spacing w:line="251" w:lineRule="exact"/>
              <w:ind w:right="93"/>
              <w:jc w:val="right"/>
              <w:rPr>
                <w:sz w:val="24"/>
                <w:szCs w:val="24"/>
              </w:rPr>
            </w:pPr>
            <w:r w:rsidRPr="005906E3">
              <w:rPr>
                <w:sz w:val="24"/>
                <w:szCs w:val="24"/>
              </w:rPr>
              <w:t>Data</w:t>
            </w:r>
            <w:r w:rsidRPr="005906E3">
              <w:rPr>
                <w:spacing w:val="-3"/>
                <w:sz w:val="24"/>
                <w:szCs w:val="24"/>
              </w:rPr>
              <w:t xml:space="preserve"> </w:t>
            </w:r>
            <w:r w:rsidRPr="005906E3">
              <w:rPr>
                <w:sz w:val="24"/>
                <w:szCs w:val="24"/>
              </w:rPr>
              <w:t>inizio</w:t>
            </w:r>
            <w:r w:rsidRPr="005906E3">
              <w:rPr>
                <w:spacing w:val="-2"/>
                <w:sz w:val="24"/>
                <w:szCs w:val="24"/>
              </w:rPr>
              <w:t xml:space="preserve"> </w:t>
            </w:r>
            <w:r w:rsidRPr="005906E3">
              <w:rPr>
                <w:sz w:val="24"/>
                <w:szCs w:val="24"/>
              </w:rPr>
              <w:t>–</w:t>
            </w:r>
            <w:r w:rsidRPr="005906E3">
              <w:rPr>
                <w:spacing w:val="-2"/>
                <w:sz w:val="24"/>
                <w:szCs w:val="24"/>
              </w:rPr>
              <w:t xml:space="preserve"> </w:t>
            </w:r>
            <w:r w:rsidRPr="005906E3">
              <w:rPr>
                <w:sz w:val="24"/>
                <w:szCs w:val="24"/>
              </w:rPr>
              <w:t>data</w:t>
            </w:r>
            <w:r w:rsidRPr="005906E3">
              <w:rPr>
                <w:spacing w:val="-2"/>
                <w:sz w:val="24"/>
                <w:szCs w:val="24"/>
              </w:rPr>
              <w:t xml:space="preserve"> </w:t>
            </w:r>
            <w:r w:rsidRPr="005906E3">
              <w:rPr>
                <w:sz w:val="24"/>
                <w:szCs w:val="24"/>
              </w:rPr>
              <w:t>fine</w:t>
            </w:r>
            <w:r w:rsidRPr="005906E3">
              <w:rPr>
                <w:spacing w:val="-3"/>
                <w:sz w:val="24"/>
                <w:szCs w:val="24"/>
              </w:rPr>
              <w:t xml:space="preserve"> </w:t>
            </w:r>
            <w:r w:rsidRPr="005906E3">
              <w:rPr>
                <w:sz w:val="24"/>
                <w:szCs w:val="24"/>
              </w:rPr>
              <w:t>proroghe</w:t>
            </w:r>
          </w:p>
        </w:tc>
        <w:tc>
          <w:tcPr>
            <w:tcW w:w="5145" w:type="dxa"/>
          </w:tcPr>
          <w:p w14:paraId="50895469" w14:textId="027385FE" w:rsidR="00897775" w:rsidRPr="005906E3" w:rsidRDefault="00F8194A" w:rsidP="00B22C57">
            <w:pPr>
              <w:pStyle w:val="TableParagraph"/>
              <w:jc w:val="both"/>
              <w:rPr>
                <w:sz w:val="24"/>
                <w:szCs w:val="24"/>
              </w:rPr>
            </w:pPr>
            <w:r>
              <w:rPr>
                <w:sz w:val="24"/>
                <w:szCs w:val="24"/>
              </w:rPr>
              <w:t>-</w:t>
            </w:r>
          </w:p>
        </w:tc>
      </w:tr>
      <w:tr w:rsidR="00897775" w:rsidRPr="00703853" w14:paraId="2E776E98" w14:textId="77777777" w:rsidTr="00087E49">
        <w:trPr>
          <w:trHeight w:val="501"/>
        </w:trPr>
        <w:tc>
          <w:tcPr>
            <w:tcW w:w="3961" w:type="dxa"/>
            <w:shd w:val="clear" w:color="auto" w:fill="DBE5F1" w:themeFill="accent1" w:themeFillTint="33"/>
            <w:vAlign w:val="center"/>
          </w:tcPr>
          <w:p w14:paraId="7CB4F3C9" w14:textId="77777777" w:rsidR="00897775" w:rsidRPr="005906E3" w:rsidRDefault="002F7EE0">
            <w:pPr>
              <w:pStyle w:val="TableParagraph"/>
              <w:spacing w:line="251" w:lineRule="exact"/>
              <w:ind w:right="93"/>
              <w:jc w:val="right"/>
              <w:rPr>
                <w:sz w:val="24"/>
                <w:szCs w:val="24"/>
              </w:rPr>
            </w:pPr>
            <w:r w:rsidRPr="005906E3">
              <w:rPr>
                <w:sz w:val="24"/>
                <w:szCs w:val="24"/>
              </w:rPr>
              <w:t>Importo</w:t>
            </w:r>
            <w:r w:rsidRPr="005906E3">
              <w:rPr>
                <w:spacing w:val="-4"/>
                <w:sz w:val="24"/>
                <w:szCs w:val="24"/>
              </w:rPr>
              <w:t xml:space="preserve"> </w:t>
            </w:r>
            <w:r w:rsidRPr="005906E3">
              <w:rPr>
                <w:sz w:val="24"/>
                <w:szCs w:val="24"/>
              </w:rPr>
              <w:t>complessivo</w:t>
            </w:r>
            <w:r w:rsidRPr="005906E3">
              <w:rPr>
                <w:spacing w:val="-4"/>
                <w:sz w:val="24"/>
                <w:szCs w:val="24"/>
              </w:rPr>
              <w:t xml:space="preserve"> </w:t>
            </w:r>
            <w:r w:rsidRPr="005906E3">
              <w:rPr>
                <w:sz w:val="24"/>
                <w:szCs w:val="24"/>
              </w:rPr>
              <w:t>proroghe</w:t>
            </w:r>
          </w:p>
        </w:tc>
        <w:tc>
          <w:tcPr>
            <w:tcW w:w="5145" w:type="dxa"/>
          </w:tcPr>
          <w:p w14:paraId="44F963D3" w14:textId="24E801B8" w:rsidR="00897775" w:rsidRPr="005906E3" w:rsidRDefault="00F8194A" w:rsidP="00B22C57">
            <w:pPr>
              <w:pStyle w:val="TableParagraph"/>
              <w:jc w:val="both"/>
              <w:rPr>
                <w:sz w:val="24"/>
                <w:szCs w:val="24"/>
              </w:rPr>
            </w:pPr>
            <w:r>
              <w:rPr>
                <w:sz w:val="24"/>
                <w:szCs w:val="24"/>
              </w:rPr>
              <w:t>-</w:t>
            </w:r>
          </w:p>
        </w:tc>
      </w:tr>
      <w:tr w:rsidR="00897775" w:rsidRPr="00703853" w14:paraId="32E316A1" w14:textId="77777777" w:rsidTr="00F60F5C">
        <w:trPr>
          <w:trHeight w:val="499"/>
        </w:trPr>
        <w:tc>
          <w:tcPr>
            <w:tcW w:w="3961" w:type="dxa"/>
            <w:shd w:val="clear" w:color="auto" w:fill="DBE5F1" w:themeFill="accent1" w:themeFillTint="33"/>
            <w:vAlign w:val="center"/>
          </w:tcPr>
          <w:p w14:paraId="36DA8800" w14:textId="77777777" w:rsidR="00897775" w:rsidRPr="005906E3" w:rsidRDefault="002F7EE0">
            <w:pPr>
              <w:pStyle w:val="TableParagraph"/>
              <w:spacing w:line="253" w:lineRule="exact"/>
              <w:ind w:right="93"/>
              <w:jc w:val="right"/>
              <w:rPr>
                <w:sz w:val="24"/>
                <w:szCs w:val="24"/>
              </w:rPr>
            </w:pPr>
            <w:r w:rsidRPr="005906E3">
              <w:rPr>
                <w:sz w:val="24"/>
                <w:szCs w:val="24"/>
              </w:rPr>
              <w:t>Importo</w:t>
            </w:r>
            <w:r w:rsidRPr="005906E3">
              <w:rPr>
                <w:spacing w:val="-2"/>
                <w:sz w:val="24"/>
                <w:szCs w:val="24"/>
              </w:rPr>
              <w:t xml:space="preserve"> </w:t>
            </w:r>
            <w:r w:rsidRPr="005906E3">
              <w:rPr>
                <w:sz w:val="24"/>
                <w:szCs w:val="24"/>
              </w:rPr>
              <w:t>totale</w:t>
            </w:r>
            <w:r w:rsidRPr="005906E3">
              <w:rPr>
                <w:spacing w:val="-3"/>
                <w:sz w:val="24"/>
                <w:szCs w:val="24"/>
              </w:rPr>
              <w:t xml:space="preserve"> </w:t>
            </w:r>
            <w:r w:rsidRPr="005906E3">
              <w:rPr>
                <w:sz w:val="24"/>
                <w:szCs w:val="24"/>
              </w:rPr>
              <w:t>contratti</w:t>
            </w:r>
            <w:r w:rsidRPr="005906E3">
              <w:rPr>
                <w:spacing w:val="-2"/>
                <w:sz w:val="24"/>
                <w:szCs w:val="24"/>
              </w:rPr>
              <w:t xml:space="preserve"> </w:t>
            </w:r>
            <w:r w:rsidRPr="005906E3">
              <w:rPr>
                <w:sz w:val="24"/>
                <w:szCs w:val="24"/>
              </w:rPr>
              <w:t>e</w:t>
            </w:r>
            <w:r w:rsidRPr="005906E3">
              <w:rPr>
                <w:spacing w:val="-3"/>
                <w:sz w:val="24"/>
                <w:szCs w:val="24"/>
              </w:rPr>
              <w:t xml:space="preserve"> </w:t>
            </w:r>
            <w:r w:rsidRPr="005906E3">
              <w:rPr>
                <w:sz w:val="24"/>
                <w:szCs w:val="24"/>
              </w:rPr>
              <w:t>proroghe</w:t>
            </w:r>
          </w:p>
        </w:tc>
        <w:tc>
          <w:tcPr>
            <w:tcW w:w="5145" w:type="dxa"/>
            <w:vAlign w:val="center"/>
          </w:tcPr>
          <w:p w14:paraId="78A0261D" w14:textId="31239CD7" w:rsidR="00897775" w:rsidRPr="005906E3" w:rsidRDefault="00CE6ACC" w:rsidP="00F60F5C">
            <w:pPr>
              <w:pStyle w:val="TableParagraph"/>
              <w:rPr>
                <w:sz w:val="24"/>
                <w:szCs w:val="24"/>
              </w:rPr>
            </w:pPr>
            <w:r w:rsidRPr="00B75CA7">
              <w:rPr>
                <w:color w:val="000000"/>
                <w:sz w:val="24"/>
                <w:szCs w:val="24"/>
              </w:rPr>
              <w:t>25</w:t>
            </w:r>
            <w:r>
              <w:rPr>
                <w:color w:val="000000"/>
                <w:sz w:val="24"/>
                <w:szCs w:val="24"/>
              </w:rPr>
              <w:t>.</w:t>
            </w:r>
            <w:r w:rsidRPr="00B75CA7">
              <w:rPr>
                <w:color w:val="000000"/>
                <w:sz w:val="24"/>
                <w:szCs w:val="24"/>
              </w:rPr>
              <w:t>078</w:t>
            </w:r>
            <w:r>
              <w:rPr>
                <w:color w:val="000000"/>
                <w:sz w:val="24"/>
                <w:szCs w:val="24"/>
              </w:rPr>
              <w:t>.</w:t>
            </w:r>
            <w:r w:rsidRPr="00B75CA7">
              <w:rPr>
                <w:color w:val="000000"/>
                <w:sz w:val="24"/>
                <w:szCs w:val="24"/>
              </w:rPr>
              <w:t>044</w:t>
            </w:r>
            <w:r>
              <w:rPr>
                <w:color w:val="000000"/>
                <w:sz w:val="24"/>
                <w:szCs w:val="24"/>
              </w:rPr>
              <w:t>,00 € (IVA esclusa)</w:t>
            </w:r>
          </w:p>
        </w:tc>
      </w:tr>
    </w:tbl>
    <w:p w14:paraId="638696FC" w14:textId="469F87E3" w:rsidR="00B25A04" w:rsidRDefault="00B25A04">
      <w:pPr>
        <w:pStyle w:val="BodyText"/>
        <w:rPr>
          <w:rFonts w:ascii="Calibri" w:hAnsi="Calibri" w:cs="Calibri"/>
          <w:sz w:val="20"/>
        </w:rPr>
      </w:pPr>
    </w:p>
    <w:p w14:paraId="5D19ECD5" w14:textId="43158521" w:rsidR="00897775" w:rsidRDefault="00897775" w:rsidP="005C4C12">
      <w:pPr>
        <w:rPr>
          <w:rFonts w:ascii="Calibri" w:hAnsi="Calibri" w:cs="Calibri"/>
          <w:sz w:val="20"/>
        </w:rPr>
      </w:pPr>
    </w:p>
    <w:p w14:paraId="2BA10EF8" w14:textId="6CDCA041" w:rsidR="00B75CA7" w:rsidRDefault="00B75CA7">
      <w:pPr>
        <w:rPr>
          <w:rFonts w:ascii="Calibri" w:hAnsi="Calibri" w:cs="Calibri"/>
          <w:sz w:val="20"/>
        </w:rPr>
      </w:pPr>
      <w:r>
        <w:rPr>
          <w:rFonts w:ascii="Calibri" w:hAnsi="Calibri" w:cs="Calibri"/>
          <w:sz w:val="20"/>
        </w:rPr>
        <w:br w:type="page"/>
      </w:r>
    </w:p>
    <w:p w14:paraId="348B57C3" w14:textId="049CF720" w:rsidR="00897775" w:rsidRDefault="002F7EE0" w:rsidP="005906E3">
      <w:pPr>
        <w:pStyle w:val="Heading1"/>
        <w:jc w:val="both"/>
      </w:pPr>
      <w:bookmarkStart w:id="1" w:name="_Toc161308485"/>
      <w:r w:rsidRPr="00703853">
        <w:lastRenderedPageBreak/>
        <w:t>INTRODUZIONE</w:t>
      </w:r>
      <w:bookmarkEnd w:id="1"/>
    </w:p>
    <w:p w14:paraId="14C12A25" w14:textId="77777777" w:rsidR="00593B70" w:rsidRPr="00DC4B94" w:rsidRDefault="00593B70" w:rsidP="005906E3">
      <w:pPr>
        <w:pStyle w:val="Heading1"/>
        <w:numPr>
          <w:ilvl w:val="0"/>
          <w:numId w:val="0"/>
        </w:numPr>
        <w:ind w:left="432"/>
        <w:jc w:val="both"/>
      </w:pPr>
    </w:p>
    <w:p w14:paraId="60B29D7E" w14:textId="77777777" w:rsidR="00897775" w:rsidRPr="00703853" w:rsidRDefault="002F7EE0" w:rsidP="005906E3">
      <w:pPr>
        <w:pStyle w:val="Heading2"/>
        <w:jc w:val="both"/>
      </w:pPr>
      <w:bookmarkStart w:id="2" w:name="_Toc161308486"/>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2"/>
    </w:p>
    <w:p w14:paraId="592B45C9" w14:textId="4E92A390" w:rsidR="00A2096B" w:rsidRDefault="002C58D6" w:rsidP="00A2096B">
      <w:pPr>
        <w:pStyle w:val="BodyText"/>
        <w:tabs>
          <w:tab w:val="left" w:pos="9072"/>
        </w:tabs>
        <w:spacing w:before="46" w:line="247" w:lineRule="auto"/>
        <w:jc w:val="both"/>
        <w:rPr>
          <w:i/>
          <w:iCs/>
        </w:rPr>
      </w:pPr>
      <w:r w:rsidRPr="002C58D6">
        <w:rPr>
          <w:i/>
          <w:iCs/>
        </w:rPr>
        <w:t xml:space="preserve">Con l’adesione </w:t>
      </w:r>
      <w:r w:rsidR="009F26C3" w:rsidRPr="002C58D6">
        <w:rPr>
          <w:i/>
          <w:iCs/>
        </w:rPr>
        <w:t>a</w:t>
      </w:r>
      <w:r w:rsidR="00F60F5C">
        <w:rPr>
          <w:i/>
          <w:iCs/>
        </w:rPr>
        <w:t xml:space="preserve">ll’Accordo Quadro, </w:t>
      </w:r>
      <w:r w:rsidR="00A2096B">
        <w:rPr>
          <w:i/>
          <w:iCs/>
        </w:rPr>
        <w:t xml:space="preserve">l’Amministrazione </w:t>
      </w:r>
      <w:r w:rsidRPr="002C58D6">
        <w:rPr>
          <w:i/>
          <w:iCs/>
        </w:rPr>
        <w:t xml:space="preserve">intende </w:t>
      </w:r>
      <w:r w:rsidR="00F60F5C">
        <w:rPr>
          <w:i/>
          <w:iCs/>
        </w:rPr>
        <w:t>dotarsi dei servizi applicativi</w:t>
      </w:r>
      <w:r w:rsidR="00A2096B">
        <w:rPr>
          <w:i/>
          <w:iCs/>
        </w:rPr>
        <w:t xml:space="preserve"> in ottica Cloud</w:t>
      </w:r>
      <w:r w:rsidR="00A84B87">
        <w:rPr>
          <w:i/>
          <w:iCs/>
        </w:rPr>
        <w:t xml:space="preserve"> per il Lotto1</w:t>
      </w:r>
      <w:r w:rsidR="00F60F5C">
        <w:rPr>
          <w:i/>
          <w:iCs/>
        </w:rPr>
        <w:t>. Di seguito vengo riportati i servizi erogati:</w:t>
      </w:r>
    </w:p>
    <w:p w14:paraId="611021FF" w14:textId="77777777" w:rsidR="004553C8" w:rsidRPr="00A2096B" w:rsidRDefault="004553C8" w:rsidP="00A2096B">
      <w:pPr>
        <w:pStyle w:val="BodyText"/>
        <w:tabs>
          <w:tab w:val="left" w:pos="9072"/>
        </w:tabs>
        <w:spacing w:before="46" w:line="247" w:lineRule="auto"/>
        <w:jc w:val="both"/>
        <w:rPr>
          <w:i/>
          <w:iCs/>
        </w:rPr>
      </w:pPr>
    </w:p>
    <w:p w14:paraId="4E0BC636" w14:textId="77777777" w:rsidR="004553C8" w:rsidRPr="004553C8" w:rsidRDefault="004553C8" w:rsidP="004553C8">
      <w:pPr>
        <w:pStyle w:val="BodyText"/>
        <w:numPr>
          <w:ilvl w:val="0"/>
          <w:numId w:val="11"/>
        </w:numPr>
        <w:tabs>
          <w:tab w:val="left" w:pos="9072"/>
        </w:tabs>
        <w:spacing w:before="46" w:line="247" w:lineRule="auto"/>
        <w:jc w:val="both"/>
        <w:rPr>
          <w:i/>
          <w:iCs/>
        </w:rPr>
      </w:pPr>
      <w:r w:rsidRPr="004553C8">
        <w:rPr>
          <w:i/>
          <w:iCs/>
        </w:rPr>
        <w:t>Servizi Realizzativi:</w:t>
      </w:r>
    </w:p>
    <w:p w14:paraId="6C211D6A" w14:textId="2D0FB126" w:rsidR="00A2096B" w:rsidRPr="004553C8" w:rsidRDefault="00A2096B" w:rsidP="004553C8">
      <w:pPr>
        <w:pStyle w:val="BodyText"/>
        <w:numPr>
          <w:ilvl w:val="1"/>
          <w:numId w:val="11"/>
        </w:numPr>
        <w:tabs>
          <w:tab w:val="left" w:pos="9072"/>
        </w:tabs>
        <w:spacing w:before="46" w:line="247" w:lineRule="auto"/>
        <w:jc w:val="both"/>
        <w:rPr>
          <w:i/>
          <w:iCs/>
        </w:rPr>
      </w:pPr>
      <w:r w:rsidRPr="004553C8">
        <w:rPr>
          <w:i/>
          <w:iCs/>
        </w:rPr>
        <w:t xml:space="preserve">Servizi di Sviluppo di Applicazioni Software Ex novo – Green Field </w:t>
      </w:r>
    </w:p>
    <w:p w14:paraId="4D724CD7" w14:textId="65C22B2E" w:rsidR="00A2096B" w:rsidRPr="004553C8" w:rsidRDefault="00A2096B" w:rsidP="004553C8">
      <w:pPr>
        <w:pStyle w:val="BodyText"/>
        <w:numPr>
          <w:ilvl w:val="1"/>
          <w:numId w:val="11"/>
        </w:numPr>
        <w:tabs>
          <w:tab w:val="left" w:pos="9072"/>
        </w:tabs>
        <w:spacing w:before="46" w:line="247" w:lineRule="auto"/>
        <w:jc w:val="both"/>
        <w:rPr>
          <w:i/>
          <w:iCs/>
        </w:rPr>
      </w:pPr>
      <w:r w:rsidRPr="004553C8">
        <w:rPr>
          <w:i/>
          <w:iCs/>
        </w:rPr>
        <w:t xml:space="preserve">Servizi di Evoluzione di Applicazioni Software Esistenti </w:t>
      </w:r>
    </w:p>
    <w:p w14:paraId="34FAAC26" w14:textId="4285FD89" w:rsidR="00A2096B" w:rsidRPr="004553C8" w:rsidRDefault="00A2096B" w:rsidP="004553C8">
      <w:pPr>
        <w:pStyle w:val="BodyText"/>
        <w:numPr>
          <w:ilvl w:val="1"/>
          <w:numId w:val="11"/>
        </w:numPr>
        <w:tabs>
          <w:tab w:val="left" w:pos="9072"/>
        </w:tabs>
        <w:spacing w:before="46" w:line="247" w:lineRule="auto"/>
        <w:jc w:val="both"/>
        <w:rPr>
          <w:i/>
          <w:iCs/>
        </w:rPr>
      </w:pPr>
      <w:r w:rsidRPr="004553C8">
        <w:rPr>
          <w:i/>
          <w:iCs/>
        </w:rPr>
        <w:t xml:space="preserve">Servizi di Migrazione Applicativa al Cloud </w:t>
      </w:r>
    </w:p>
    <w:p w14:paraId="0FAAF1B1" w14:textId="67738401" w:rsidR="00A2096B" w:rsidRPr="004553C8" w:rsidRDefault="00A2096B" w:rsidP="004553C8">
      <w:pPr>
        <w:pStyle w:val="BodyText"/>
        <w:numPr>
          <w:ilvl w:val="1"/>
          <w:numId w:val="11"/>
        </w:numPr>
        <w:tabs>
          <w:tab w:val="left" w:pos="9072"/>
        </w:tabs>
        <w:spacing w:before="46" w:line="247" w:lineRule="auto"/>
        <w:jc w:val="both"/>
        <w:rPr>
          <w:i/>
          <w:iCs/>
        </w:rPr>
      </w:pPr>
      <w:r w:rsidRPr="004553C8">
        <w:rPr>
          <w:i/>
          <w:iCs/>
        </w:rPr>
        <w:t xml:space="preserve">Servizi di Configurazione e/o Personalizzazione di Software di terze parti, open source o riuso </w:t>
      </w:r>
    </w:p>
    <w:p w14:paraId="237100F3" w14:textId="623D1094" w:rsidR="00A2096B" w:rsidRPr="004553C8" w:rsidRDefault="00A2096B">
      <w:pPr>
        <w:pStyle w:val="BodyText"/>
        <w:numPr>
          <w:ilvl w:val="0"/>
          <w:numId w:val="11"/>
        </w:numPr>
        <w:tabs>
          <w:tab w:val="left" w:pos="9072"/>
        </w:tabs>
        <w:spacing w:before="46" w:line="247" w:lineRule="auto"/>
        <w:jc w:val="both"/>
        <w:rPr>
          <w:i/>
          <w:iCs/>
        </w:rPr>
      </w:pPr>
      <w:r w:rsidRPr="004553C8">
        <w:rPr>
          <w:i/>
          <w:iCs/>
        </w:rPr>
        <w:t xml:space="preserve">Servizi di Gestione </w:t>
      </w:r>
      <w:r w:rsidR="008C4FB8">
        <w:rPr>
          <w:i/>
          <w:iCs/>
        </w:rPr>
        <w:t>e Manutenzione</w:t>
      </w:r>
      <w:r w:rsidRPr="004553C8">
        <w:rPr>
          <w:i/>
          <w:iCs/>
        </w:rPr>
        <w:t xml:space="preserve">: </w:t>
      </w:r>
    </w:p>
    <w:p w14:paraId="413E2DB7" w14:textId="091EBB49" w:rsidR="00A2096B" w:rsidRPr="004553C8" w:rsidRDefault="00A2096B">
      <w:pPr>
        <w:pStyle w:val="BodyText"/>
        <w:numPr>
          <w:ilvl w:val="0"/>
          <w:numId w:val="12"/>
        </w:numPr>
        <w:tabs>
          <w:tab w:val="left" w:pos="9072"/>
        </w:tabs>
        <w:spacing w:before="46" w:line="247" w:lineRule="auto"/>
        <w:jc w:val="both"/>
        <w:rPr>
          <w:i/>
          <w:iCs/>
        </w:rPr>
      </w:pPr>
      <w:r w:rsidRPr="004553C8">
        <w:rPr>
          <w:i/>
          <w:iCs/>
        </w:rPr>
        <w:t xml:space="preserve">Gestione applicativi e basi dati </w:t>
      </w:r>
    </w:p>
    <w:p w14:paraId="096C8B3E" w14:textId="5441E5C3" w:rsidR="00A2096B" w:rsidRPr="004553C8" w:rsidRDefault="00A2096B">
      <w:pPr>
        <w:pStyle w:val="BodyText"/>
        <w:numPr>
          <w:ilvl w:val="0"/>
          <w:numId w:val="12"/>
        </w:numPr>
        <w:tabs>
          <w:tab w:val="left" w:pos="9072"/>
        </w:tabs>
        <w:spacing w:before="46" w:line="247" w:lineRule="auto"/>
        <w:jc w:val="both"/>
        <w:rPr>
          <w:i/>
          <w:iCs/>
        </w:rPr>
      </w:pPr>
      <w:r w:rsidRPr="004553C8">
        <w:rPr>
          <w:i/>
          <w:iCs/>
        </w:rPr>
        <w:t xml:space="preserve">Gestione del Front-End Digitale, Publishing e contenuti di Siti Web </w:t>
      </w:r>
    </w:p>
    <w:p w14:paraId="088143A5" w14:textId="22A15DE8" w:rsidR="002C58D6" w:rsidRDefault="00A2096B">
      <w:pPr>
        <w:pStyle w:val="BodyText"/>
        <w:numPr>
          <w:ilvl w:val="0"/>
          <w:numId w:val="12"/>
        </w:numPr>
        <w:tabs>
          <w:tab w:val="left" w:pos="9072"/>
        </w:tabs>
        <w:spacing w:before="46" w:line="247" w:lineRule="auto"/>
        <w:jc w:val="both"/>
        <w:rPr>
          <w:i/>
          <w:iCs/>
        </w:rPr>
      </w:pPr>
      <w:r w:rsidRPr="004553C8">
        <w:rPr>
          <w:i/>
          <w:iCs/>
        </w:rPr>
        <w:t xml:space="preserve">Gestione Trasversale del Portafoglio Applicativo </w:t>
      </w:r>
    </w:p>
    <w:p w14:paraId="4400B278" w14:textId="77777777" w:rsidR="008C4FB8" w:rsidRPr="008C4FB8" w:rsidRDefault="008C4FB8" w:rsidP="008C4FB8">
      <w:pPr>
        <w:pStyle w:val="BodyText"/>
        <w:numPr>
          <w:ilvl w:val="0"/>
          <w:numId w:val="12"/>
        </w:numPr>
        <w:tabs>
          <w:tab w:val="left" w:pos="9072"/>
        </w:tabs>
        <w:spacing w:before="46" w:line="247" w:lineRule="auto"/>
        <w:jc w:val="both"/>
        <w:rPr>
          <w:i/>
          <w:iCs/>
        </w:rPr>
      </w:pPr>
      <w:r w:rsidRPr="008C4FB8">
        <w:rPr>
          <w:i/>
          <w:iCs/>
        </w:rPr>
        <w:t xml:space="preserve">Manutenzione </w:t>
      </w:r>
      <w:proofErr w:type="spellStart"/>
      <w:r w:rsidRPr="008C4FB8">
        <w:rPr>
          <w:i/>
          <w:iCs/>
        </w:rPr>
        <w:t>Adeguativa</w:t>
      </w:r>
      <w:proofErr w:type="spellEnd"/>
      <w:r w:rsidRPr="008C4FB8">
        <w:rPr>
          <w:i/>
          <w:iCs/>
        </w:rPr>
        <w:t xml:space="preserve"> </w:t>
      </w:r>
    </w:p>
    <w:p w14:paraId="69CB7C5C" w14:textId="77777777" w:rsidR="008C4FB8" w:rsidRPr="008C4FB8" w:rsidRDefault="008C4FB8" w:rsidP="008C4FB8">
      <w:pPr>
        <w:pStyle w:val="BodyText"/>
        <w:numPr>
          <w:ilvl w:val="0"/>
          <w:numId w:val="12"/>
        </w:numPr>
        <w:tabs>
          <w:tab w:val="left" w:pos="9072"/>
        </w:tabs>
        <w:spacing w:before="46" w:line="247" w:lineRule="auto"/>
        <w:jc w:val="both"/>
        <w:rPr>
          <w:i/>
          <w:iCs/>
        </w:rPr>
      </w:pPr>
      <w:r w:rsidRPr="008C4FB8">
        <w:rPr>
          <w:i/>
          <w:iCs/>
        </w:rPr>
        <w:t xml:space="preserve">Manutenzione Correttiva di “SW pregresso e non in garanzia” </w:t>
      </w:r>
    </w:p>
    <w:p w14:paraId="239C4003" w14:textId="4CC7CDC9" w:rsidR="008C4FB8" w:rsidRPr="008C4FB8" w:rsidRDefault="008C4FB8" w:rsidP="008C4FB8">
      <w:pPr>
        <w:pStyle w:val="BodyText"/>
        <w:numPr>
          <w:ilvl w:val="0"/>
          <w:numId w:val="12"/>
        </w:numPr>
        <w:tabs>
          <w:tab w:val="left" w:pos="9072"/>
        </w:tabs>
        <w:spacing w:before="46" w:line="247" w:lineRule="auto"/>
        <w:jc w:val="both"/>
        <w:rPr>
          <w:i/>
          <w:iCs/>
        </w:rPr>
      </w:pPr>
      <w:r w:rsidRPr="008C4FB8">
        <w:rPr>
          <w:i/>
          <w:iCs/>
        </w:rPr>
        <w:t xml:space="preserve">Manutenzione </w:t>
      </w:r>
      <w:proofErr w:type="spellStart"/>
      <w:r w:rsidRPr="008C4FB8">
        <w:rPr>
          <w:i/>
          <w:iCs/>
        </w:rPr>
        <w:t>Adeguativa</w:t>
      </w:r>
      <w:proofErr w:type="spellEnd"/>
      <w:r w:rsidRPr="008C4FB8">
        <w:rPr>
          <w:i/>
          <w:iCs/>
        </w:rPr>
        <w:t xml:space="preserve"> e Manutenzione Correttiva di “SW pregresso e </w:t>
      </w:r>
      <w:r w:rsidR="00D517AF">
        <w:rPr>
          <w:i/>
          <w:iCs/>
        </w:rPr>
        <w:t xml:space="preserve">non </w:t>
      </w:r>
      <w:r w:rsidRPr="008C4FB8">
        <w:rPr>
          <w:i/>
          <w:iCs/>
        </w:rPr>
        <w:t xml:space="preserve">in garanzia” </w:t>
      </w:r>
    </w:p>
    <w:p w14:paraId="70A0EDB2" w14:textId="7EA9F3FA" w:rsidR="004553C8" w:rsidRPr="004553C8" w:rsidRDefault="004553C8" w:rsidP="004553C8">
      <w:pPr>
        <w:pStyle w:val="BodyText"/>
        <w:numPr>
          <w:ilvl w:val="0"/>
          <w:numId w:val="11"/>
        </w:numPr>
        <w:tabs>
          <w:tab w:val="left" w:pos="9072"/>
        </w:tabs>
        <w:spacing w:before="46" w:line="247" w:lineRule="auto"/>
        <w:jc w:val="both"/>
        <w:rPr>
          <w:i/>
          <w:iCs/>
        </w:rPr>
      </w:pPr>
      <w:r w:rsidRPr="004553C8">
        <w:rPr>
          <w:i/>
          <w:iCs/>
        </w:rPr>
        <w:t>Servizi Specialistici:</w:t>
      </w:r>
    </w:p>
    <w:p w14:paraId="36AF0208" w14:textId="7ABC7904" w:rsidR="004553C8" w:rsidRPr="004553C8" w:rsidRDefault="004553C8" w:rsidP="004553C8">
      <w:pPr>
        <w:pStyle w:val="BodyText"/>
        <w:numPr>
          <w:ilvl w:val="0"/>
          <w:numId w:val="12"/>
        </w:numPr>
        <w:tabs>
          <w:tab w:val="left" w:pos="9072"/>
        </w:tabs>
        <w:spacing w:before="46" w:line="247" w:lineRule="auto"/>
        <w:jc w:val="both"/>
        <w:rPr>
          <w:i/>
          <w:iCs/>
        </w:rPr>
      </w:pPr>
      <w:r w:rsidRPr="004553C8">
        <w:rPr>
          <w:i/>
          <w:iCs/>
        </w:rPr>
        <w:t>Servizio di Sviluppo e</w:t>
      </w:r>
      <w:r w:rsidR="00F932B9">
        <w:rPr>
          <w:i/>
          <w:iCs/>
        </w:rPr>
        <w:t>d</w:t>
      </w:r>
      <w:r w:rsidRPr="004553C8">
        <w:rPr>
          <w:i/>
          <w:iCs/>
        </w:rPr>
        <w:t xml:space="preserve"> Evoluzione SW in co-working con l’Amministrazione </w:t>
      </w:r>
    </w:p>
    <w:p w14:paraId="72EDBAAE" w14:textId="77777777" w:rsidR="004553C8" w:rsidRPr="004553C8" w:rsidRDefault="004553C8" w:rsidP="004553C8">
      <w:pPr>
        <w:pStyle w:val="BodyText"/>
        <w:numPr>
          <w:ilvl w:val="0"/>
          <w:numId w:val="12"/>
        </w:numPr>
        <w:tabs>
          <w:tab w:val="left" w:pos="9072"/>
        </w:tabs>
        <w:spacing w:before="46" w:line="247" w:lineRule="auto"/>
        <w:jc w:val="both"/>
        <w:rPr>
          <w:i/>
          <w:iCs/>
        </w:rPr>
      </w:pPr>
      <w:r w:rsidRPr="004553C8">
        <w:rPr>
          <w:i/>
          <w:iCs/>
        </w:rPr>
        <w:t xml:space="preserve">Servizi di Supporto Specialistico ICT </w:t>
      </w:r>
    </w:p>
    <w:p w14:paraId="251F9F59" w14:textId="77777777" w:rsidR="004553C8" w:rsidRPr="004553C8" w:rsidRDefault="004553C8" w:rsidP="004553C8">
      <w:pPr>
        <w:pStyle w:val="BodyText"/>
        <w:numPr>
          <w:ilvl w:val="0"/>
          <w:numId w:val="12"/>
        </w:numPr>
        <w:tabs>
          <w:tab w:val="left" w:pos="9072"/>
        </w:tabs>
        <w:spacing w:before="46" w:line="247" w:lineRule="auto"/>
        <w:jc w:val="both"/>
        <w:rPr>
          <w:i/>
          <w:iCs/>
        </w:rPr>
      </w:pPr>
      <w:r w:rsidRPr="004553C8">
        <w:rPr>
          <w:i/>
          <w:iCs/>
        </w:rPr>
        <w:t xml:space="preserve">Servizio di Software Quality Assurance, Compliance e </w:t>
      </w:r>
      <w:proofErr w:type="spellStart"/>
      <w:r w:rsidRPr="004553C8">
        <w:rPr>
          <w:i/>
          <w:iCs/>
        </w:rPr>
        <w:t>Measurement</w:t>
      </w:r>
      <w:proofErr w:type="spellEnd"/>
      <w:r w:rsidRPr="004553C8">
        <w:rPr>
          <w:i/>
          <w:iCs/>
        </w:rPr>
        <w:t xml:space="preserve"> </w:t>
      </w:r>
    </w:p>
    <w:p w14:paraId="3C18A24A" w14:textId="77777777" w:rsidR="0028164C" w:rsidRDefault="0028164C" w:rsidP="005906E3">
      <w:pPr>
        <w:pStyle w:val="BodyText"/>
        <w:tabs>
          <w:tab w:val="left" w:pos="9072"/>
        </w:tabs>
        <w:spacing w:before="46" w:line="247" w:lineRule="auto"/>
        <w:jc w:val="both"/>
        <w:rPr>
          <w:i/>
          <w:iCs/>
        </w:rPr>
      </w:pPr>
    </w:p>
    <w:p w14:paraId="3A0F4C48" w14:textId="5C57D79C" w:rsidR="001563A1" w:rsidRDefault="00017AFA" w:rsidP="005906E3">
      <w:pPr>
        <w:pStyle w:val="BodyText"/>
        <w:tabs>
          <w:tab w:val="left" w:pos="9072"/>
        </w:tabs>
        <w:spacing w:before="46" w:line="247" w:lineRule="auto"/>
        <w:jc w:val="both"/>
        <w:rPr>
          <w:i/>
          <w:iCs/>
        </w:rPr>
      </w:pPr>
      <w:r>
        <w:rPr>
          <w:i/>
          <w:iCs/>
        </w:rPr>
        <w:t>Il valore complessivo massimo del contratto è</w:t>
      </w:r>
      <w:r w:rsidR="007D64BD">
        <w:rPr>
          <w:i/>
          <w:iCs/>
        </w:rPr>
        <w:t xml:space="preserve"> </w:t>
      </w:r>
      <w:r w:rsidR="0028164C" w:rsidRPr="0028164C">
        <w:rPr>
          <w:i/>
          <w:iCs/>
        </w:rPr>
        <w:t xml:space="preserve">25.078.044,00 </w:t>
      </w:r>
      <w:r w:rsidR="007D64BD">
        <w:rPr>
          <w:i/>
          <w:iCs/>
        </w:rPr>
        <w:t>eur</w:t>
      </w:r>
      <w:r w:rsidR="00C466EA">
        <w:rPr>
          <w:i/>
          <w:iCs/>
        </w:rPr>
        <w:t>o</w:t>
      </w:r>
      <w:r w:rsidR="007D64BD">
        <w:rPr>
          <w:i/>
          <w:iCs/>
        </w:rPr>
        <w:t xml:space="preserve"> IVA esclusa</w:t>
      </w:r>
      <w:r w:rsidR="00FE5C44">
        <w:rPr>
          <w:i/>
          <w:iCs/>
        </w:rPr>
        <w:t>.</w:t>
      </w:r>
    </w:p>
    <w:p w14:paraId="65AA02C8" w14:textId="77777777" w:rsidR="007D64BD" w:rsidRPr="001563A1" w:rsidRDefault="007D64BD" w:rsidP="005906E3">
      <w:pPr>
        <w:pStyle w:val="BodyText"/>
        <w:tabs>
          <w:tab w:val="left" w:pos="9072"/>
        </w:tabs>
        <w:spacing w:before="46" w:line="247" w:lineRule="auto"/>
        <w:jc w:val="both"/>
        <w:rPr>
          <w:i/>
          <w:iCs/>
        </w:rPr>
      </w:pPr>
    </w:p>
    <w:p w14:paraId="1BC1081C" w14:textId="77777777" w:rsidR="00897775" w:rsidRPr="00593B70" w:rsidRDefault="002F7EE0" w:rsidP="005906E3">
      <w:pPr>
        <w:pStyle w:val="Heading2"/>
        <w:jc w:val="both"/>
      </w:pPr>
      <w:bookmarkStart w:id="3" w:name="_Toc161308487"/>
      <w:r w:rsidRPr="00593B70">
        <w:t>BREVE DESCRIZIONE DEI SERVIZI CONTRATTUALI</w:t>
      </w:r>
      <w:bookmarkEnd w:id="3"/>
    </w:p>
    <w:p w14:paraId="0139144C" w14:textId="7DD0C4C0" w:rsidR="00B25A04" w:rsidRDefault="00767A8C" w:rsidP="005906E3">
      <w:pPr>
        <w:pStyle w:val="BodyText"/>
        <w:tabs>
          <w:tab w:val="left" w:pos="9072"/>
        </w:tabs>
        <w:spacing w:before="117"/>
        <w:jc w:val="both"/>
        <w:rPr>
          <w:i/>
          <w:iCs/>
        </w:rPr>
      </w:pPr>
      <w:r>
        <w:rPr>
          <w:i/>
          <w:iCs/>
        </w:rPr>
        <w:t xml:space="preserve">Di seguito si riporta una descrizione sintetica dei </w:t>
      </w:r>
      <w:r w:rsidR="002F7EE0" w:rsidRPr="00267886">
        <w:rPr>
          <w:i/>
          <w:iCs/>
        </w:rPr>
        <w:t>servizi</w:t>
      </w:r>
      <w:r w:rsidR="002F7EE0" w:rsidRPr="00267886">
        <w:rPr>
          <w:i/>
          <w:iCs/>
          <w:spacing w:val="-2"/>
        </w:rPr>
        <w:t xml:space="preserve"> </w:t>
      </w:r>
      <w:r w:rsidR="00067272">
        <w:rPr>
          <w:i/>
          <w:iCs/>
          <w:spacing w:val="-2"/>
        </w:rPr>
        <w:t>sopraelencati</w:t>
      </w:r>
      <w:r w:rsidR="00D166C9">
        <w:rPr>
          <w:i/>
          <w:iCs/>
          <w:spacing w:val="-2"/>
        </w:rPr>
        <w:t>,</w:t>
      </w:r>
      <w:r w:rsidR="00067272">
        <w:rPr>
          <w:i/>
          <w:iCs/>
          <w:spacing w:val="-2"/>
        </w:rPr>
        <w:t xml:space="preserve"> </w:t>
      </w:r>
      <w:r w:rsidR="002F7EE0" w:rsidRPr="00267886">
        <w:rPr>
          <w:i/>
          <w:iCs/>
        </w:rPr>
        <w:t>previsti</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5906E3">
      <w:pPr>
        <w:pStyle w:val="BodyText"/>
        <w:tabs>
          <w:tab w:val="left" w:pos="9072"/>
        </w:tabs>
        <w:spacing w:before="117"/>
        <w:jc w:val="both"/>
        <w:rPr>
          <w:i/>
          <w:iCs/>
        </w:rPr>
      </w:pPr>
    </w:p>
    <w:p w14:paraId="5BC31280" w14:textId="6BBAD290" w:rsidR="00C16793" w:rsidRPr="004553C8" w:rsidRDefault="00BA39A9" w:rsidP="005906E3">
      <w:pPr>
        <w:pStyle w:val="Heading3"/>
        <w:jc w:val="both"/>
        <w:rPr>
          <w:rFonts w:ascii="Times New Roman" w:eastAsia="Times New Roman" w:hAnsi="Times New Roman" w:cs="Times New Roman"/>
          <w:b/>
          <w:bCs/>
          <w:color w:val="auto"/>
        </w:rPr>
      </w:pPr>
      <w:bookmarkStart w:id="4" w:name="_Toc161308488"/>
      <w:r w:rsidRPr="004553C8">
        <w:rPr>
          <w:rFonts w:ascii="Times New Roman" w:eastAsia="Times New Roman" w:hAnsi="Times New Roman" w:cs="Times New Roman"/>
          <w:b/>
          <w:bCs/>
          <w:color w:val="auto"/>
        </w:rPr>
        <w:t>Servizi</w:t>
      </w:r>
      <w:r w:rsidR="004553C8" w:rsidRPr="004553C8">
        <w:rPr>
          <w:rFonts w:ascii="Times New Roman" w:eastAsia="Times New Roman" w:hAnsi="Times New Roman" w:cs="Times New Roman"/>
          <w:b/>
          <w:bCs/>
          <w:color w:val="auto"/>
        </w:rPr>
        <w:t xml:space="preserve"> realizzativi</w:t>
      </w:r>
      <w:bookmarkEnd w:id="4"/>
    </w:p>
    <w:p w14:paraId="71340E70" w14:textId="2FBC0437" w:rsidR="00167C77" w:rsidRPr="00167C77" w:rsidRDefault="00167C77" w:rsidP="004553C8">
      <w:pPr>
        <w:pStyle w:val="BodyText"/>
        <w:tabs>
          <w:tab w:val="left" w:pos="9072"/>
        </w:tabs>
        <w:spacing w:before="117" w:after="240"/>
        <w:jc w:val="both"/>
        <w:rPr>
          <w:i/>
          <w:iCs/>
        </w:rPr>
      </w:pPr>
      <w:r w:rsidRPr="00167C77">
        <w:rPr>
          <w:i/>
          <w:iCs/>
        </w:rPr>
        <w:t xml:space="preserve">I servizi </w:t>
      </w:r>
      <w:r w:rsidR="004553C8">
        <w:rPr>
          <w:i/>
          <w:iCs/>
        </w:rPr>
        <w:t xml:space="preserve">realizzativi </w:t>
      </w:r>
      <w:r w:rsidRPr="00167C77">
        <w:rPr>
          <w:i/>
          <w:iCs/>
        </w:rPr>
        <w:t xml:space="preserve">si articolano in: </w:t>
      </w:r>
    </w:p>
    <w:p w14:paraId="022E38F9" w14:textId="7F8D280E" w:rsidR="004553C8" w:rsidRPr="006574CE" w:rsidRDefault="004553C8" w:rsidP="006574CE">
      <w:pPr>
        <w:pStyle w:val="ListParagraph"/>
        <w:numPr>
          <w:ilvl w:val="0"/>
          <w:numId w:val="13"/>
        </w:numPr>
        <w:jc w:val="both"/>
        <w:rPr>
          <w:i/>
          <w:iCs/>
          <w:sz w:val="24"/>
          <w:szCs w:val="24"/>
        </w:rPr>
      </w:pPr>
      <w:r w:rsidRPr="004553C8">
        <w:rPr>
          <w:i/>
          <w:iCs/>
          <w:sz w:val="24"/>
          <w:szCs w:val="24"/>
        </w:rPr>
        <w:t>Servizi di Sviluppo di Applicazioni Software Ex novo – Green Field</w:t>
      </w:r>
      <w:r w:rsidR="006574CE">
        <w:rPr>
          <w:i/>
          <w:iCs/>
          <w:sz w:val="24"/>
          <w:szCs w:val="24"/>
        </w:rPr>
        <w:t xml:space="preserve">, </w:t>
      </w:r>
      <w:r w:rsidR="006574CE" w:rsidRPr="006574CE">
        <w:rPr>
          <w:i/>
          <w:iCs/>
          <w:sz w:val="24"/>
          <w:szCs w:val="24"/>
        </w:rPr>
        <w:t>avrà per oggetto lo sviluppo delle componenti e moduli applicativi di nuova realizzazione che completeranno il dispiegamento dei servizi già presenti presso il Ministero della Giustizia e, nello specifico, il Ministero della Giustizia intende perseguire l’obiettivo di una digitalizzazione dei servizi</w:t>
      </w:r>
      <w:r w:rsidR="006574CE">
        <w:rPr>
          <w:i/>
          <w:iCs/>
          <w:sz w:val="24"/>
          <w:szCs w:val="24"/>
        </w:rPr>
        <w:t xml:space="preserve"> </w:t>
      </w:r>
      <w:r w:rsidR="006574CE" w:rsidRPr="006574CE">
        <w:rPr>
          <w:i/>
          <w:iCs/>
          <w:sz w:val="24"/>
          <w:szCs w:val="24"/>
        </w:rPr>
        <w:t xml:space="preserve">connessi ai servizi erogati dalle strutture centrali e periferiche, per finalizzare la realizzazione di una piattaforma unica dei </w:t>
      </w:r>
      <w:r w:rsidR="006574CE">
        <w:rPr>
          <w:i/>
          <w:iCs/>
          <w:sz w:val="24"/>
          <w:szCs w:val="24"/>
        </w:rPr>
        <w:t>s</w:t>
      </w:r>
      <w:r w:rsidR="006574CE" w:rsidRPr="006574CE">
        <w:rPr>
          <w:i/>
          <w:iCs/>
          <w:sz w:val="24"/>
          <w:szCs w:val="24"/>
        </w:rPr>
        <w:t>ervizi in ottica Cloud</w:t>
      </w:r>
      <w:r w:rsidR="005E4F5F">
        <w:rPr>
          <w:i/>
          <w:iCs/>
          <w:sz w:val="24"/>
          <w:szCs w:val="24"/>
        </w:rPr>
        <w:t>;</w:t>
      </w:r>
    </w:p>
    <w:p w14:paraId="424C471A" w14:textId="51A052D5" w:rsidR="004553C8" w:rsidRPr="005E4F5F" w:rsidRDefault="004553C8" w:rsidP="005E4F5F">
      <w:pPr>
        <w:pStyle w:val="ListParagraph"/>
        <w:numPr>
          <w:ilvl w:val="0"/>
          <w:numId w:val="13"/>
        </w:numPr>
        <w:jc w:val="both"/>
        <w:rPr>
          <w:i/>
          <w:iCs/>
          <w:sz w:val="24"/>
          <w:szCs w:val="24"/>
        </w:rPr>
      </w:pPr>
      <w:r w:rsidRPr="004553C8">
        <w:rPr>
          <w:i/>
          <w:iCs/>
          <w:sz w:val="24"/>
          <w:szCs w:val="24"/>
        </w:rPr>
        <w:t>Servizi di Evoluzione di Applicazioni Software Esistenti</w:t>
      </w:r>
      <w:r w:rsidR="005E4F5F">
        <w:rPr>
          <w:i/>
          <w:iCs/>
          <w:sz w:val="24"/>
          <w:szCs w:val="24"/>
        </w:rPr>
        <w:t xml:space="preserve">, </w:t>
      </w:r>
      <w:r w:rsidR="005E4F5F" w:rsidRPr="005E4F5F">
        <w:rPr>
          <w:i/>
          <w:iCs/>
          <w:sz w:val="24"/>
          <w:szCs w:val="24"/>
        </w:rPr>
        <w:t>comprende gli interventi volti ad arricchire le applicazioni esistenti di nuove funzionalità, o comunque volti a modificare e/o integrare le funzionalità già esistenti</w:t>
      </w:r>
      <w:r w:rsidR="005E4F5F">
        <w:rPr>
          <w:i/>
          <w:iCs/>
          <w:sz w:val="24"/>
          <w:szCs w:val="24"/>
        </w:rPr>
        <w:t>;</w:t>
      </w:r>
    </w:p>
    <w:p w14:paraId="03509574" w14:textId="2D34C228" w:rsidR="004553C8" w:rsidRPr="005E4F5F" w:rsidRDefault="004553C8" w:rsidP="005E4F5F">
      <w:pPr>
        <w:pStyle w:val="ListParagraph"/>
        <w:numPr>
          <w:ilvl w:val="0"/>
          <w:numId w:val="13"/>
        </w:numPr>
        <w:jc w:val="both"/>
        <w:rPr>
          <w:i/>
          <w:iCs/>
          <w:sz w:val="24"/>
          <w:szCs w:val="24"/>
        </w:rPr>
      </w:pPr>
      <w:r w:rsidRPr="004553C8">
        <w:rPr>
          <w:i/>
          <w:iCs/>
          <w:sz w:val="24"/>
          <w:szCs w:val="24"/>
        </w:rPr>
        <w:t>Servizi di Migrazione Applicativa al Cloud</w:t>
      </w:r>
      <w:r w:rsidR="005E4F5F">
        <w:rPr>
          <w:i/>
          <w:iCs/>
          <w:sz w:val="24"/>
          <w:szCs w:val="24"/>
        </w:rPr>
        <w:t xml:space="preserve">, tale migrazione avverrà </w:t>
      </w:r>
      <w:r w:rsidR="005E4F5F" w:rsidRPr="005E4F5F">
        <w:rPr>
          <w:i/>
          <w:iCs/>
          <w:sz w:val="24"/>
          <w:szCs w:val="24"/>
        </w:rPr>
        <w:t xml:space="preserve">a valle delle fasi di </w:t>
      </w:r>
      <w:r w:rsidR="005E4F5F" w:rsidRPr="005E4F5F">
        <w:rPr>
          <w:i/>
          <w:iCs/>
          <w:sz w:val="24"/>
          <w:szCs w:val="24"/>
        </w:rPr>
        <w:lastRenderedPageBreak/>
        <w:t xml:space="preserve">mappatura, </w:t>
      </w:r>
      <w:proofErr w:type="spellStart"/>
      <w:r w:rsidR="005E4F5F" w:rsidRPr="005E4F5F">
        <w:rPr>
          <w:i/>
          <w:iCs/>
          <w:sz w:val="24"/>
          <w:szCs w:val="24"/>
        </w:rPr>
        <w:t>assessment</w:t>
      </w:r>
      <w:proofErr w:type="spellEnd"/>
      <w:r w:rsidR="005E4F5F" w:rsidRPr="005E4F5F">
        <w:rPr>
          <w:i/>
          <w:iCs/>
          <w:sz w:val="24"/>
          <w:szCs w:val="24"/>
        </w:rPr>
        <w:t xml:space="preserve"> e scelta della strategia di migrazione lungo il percorso dettato dalla Roadmap di Migrazione definita dall’Amministrazione</w:t>
      </w:r>
      <w:r w:rsidR="005E4F5F">
        <w:rPr>
          <w:i/>
          <w:iCs/>
          <w:sz w:val="24"/>
          <w:szCs w:val="24"/>
        </w:rPr>
        <w:t>;</w:t>
      </w:r>
    </w:p>
    <w:p w14:paraId="19937834" w14:textId="3370E7A4" w:rsidR="00FE4683" w:rsidRPr="005E4F5F" w:rsidRDefault="004553C8" w:rsidP="005E4F5F">
      <w:pPr>
        <w:pStyle w:val="ListParagraph"/>
        <w:numPr>
          <w:ilvl w:val="0"/>
          <w:numId w:val="13"/>
        </w:numPr>
        <w:jc w:val="both"/>
        <w:rPr>
          <w:i/>
          <w:iCs/>
          <w:sz w:val="24"/>
          <w:szCs w:val="24"/>
        </w:rPr>
      </w:pPr>
      <w:r w:rsidRPr="004553C8">
        <w:rPr>
          <w:i/>
          <w:iCs/>
          <w:sz w:val="24"/>
          <w:szCs w:val="24"/>
        </w:rPr>
        <w:t>Servizi di Configurazione e/o Personalizzazione di Software di terze parti, open source o riuso</w:t>
      </w:r>
      <w:r w:rsidR="005E4F5F">
        <w:rPr>
          <w:i/>
          <w:iCs/>
          <w:sz w:val="24"/>
          <w:szCs w:val="24"/>
        </w:rPr>
        <w:t>, consente di</w:t>
      </w:r>
      <w:r w:rsidR="005E4F5F" w:rsidRPr="005E4F5F">
        <w:rPr>
          <w:i/>
          <w:iCs/>
          <w:sz w:val="24"/>
          <w:szCs w:val="24"/>
        </w:rPr>
        <w:t xml:space="preserve"> ottenere una applicazione che risponda alle esigenze e persegua gli obiettivi funzionali e non prefissi attraverso attività di configurazione e personalizzazione di software di terze parti, siano essi di natura proprietaria, open source/libera o in riuso da altre amministrazioni.</w:t>
      </w:r>
      <w:r w:rsidRPr="005E4F5F">
        <w:rPr>
          <w:i/>
          <w:iCs/>
          <w:sz w:val="24"/>
          <w:szCs w:val="24"/>
        </w:rPr>
        <w:t xml:space="preserve"> </w:t>
      </w:r>
    </w:p>
    <w:p w14:paraId="69E8350A" w14:textId="77777777" w:rsidR="004553C8" w:rsidRPr="004553C8" w:rsidRDefault="004553C8" w:rsidP="004553C8">
      <w:pPr>
        <w:pStyle w:val="ListParagraph"/>
        <w:ind w:left="720" w:firstLine="0"/>
        <w:jc w:val="both"/>
        <w:rPr>
          <w:i/>
          <w:iCs/>
          <w:sz w:val="24"/>
          <w:szCs w:val="24"/>
        </w:rPr>
      </w:pPr>
    </w:p>
    <w:p w14:paraId="38BB199C" w14:textId="3B4750E7" w:rsidR="00F40F4E" w:rsidRDefault="007C63A9" w:rsidP="005906E3">
      <w:pPr>
        <w:jc w:val="both"/>
        <w:rPr>
          <w:i/>
          <w:iCs/>
          <w:sz w:val="24"/>
          <w:szCs w:val="24"/>
        </w:rPr>
      </w:pPr>
      <w:r w:rsidRPr="007C63A9">
        <w:rPr>
          <w:i/>
          <w:iCs/>
          <w:sz w:val="24"/>
          <w:szCs w:val="24"/>
        </w:rPr>
        <w:t>Il valore economico contrattuale associato a questa attività/servizio</w:t>
      </w:r>
      <w:r w:rsidR="00167C77">
        <w:rPr>
          <w:i/>
          <w:iCs/>
          <w:sz w:val="24"/>
          <w:szCs w:val="24"/>
        </w:rPr>
        <w:t xml:space="preserve"> </w:t>
      </w:r>
      <w:r w:rsidR="00FE4683">
        <w:rPr>
          <w:i/>
          <w:iCs/>
          <w:sz w:val="24"/>
          <w:szCs w:val="24"/>
        </w:rPr>
        <w:t xml:space="preserve">è </w:t>
      </w:r>
      <w:r w:rsidR="00E72071" w:rsidRPr="00E72071">
        <w:rPr>
          <w:i/>
          <w:iCs/>
          <w:sz w:val="24"/>
          <w:szCs w:val="24"/>
        </w:rPr>
        <w:t>15.204.618,00</w:t>
      </w:r>
      <w:r w:rsidR="00E72071">
        <w:rPr>
          <w:i/>
          <w:iCs/>
          <w:sz w:val="24"/>
          <w:szCs w:val="24"/>
        </w:rPr>
        <w:t xml:space="preserve"> </w:t>
      </w:r>
      <w:r w:rsidR="00FE4683">
        <w:rPr>
          <w:i/>
          <w:iCs/>
          <w:sz w:val="24"/>
          <w:szCs w:val="24"/>
        </w:rPr>
        <w:t>euro IVA esclusa.</w:t>
      </w:r>
    </w:p>
    <w:p w14:paraId="47179226" w14:textId="77777777" w:rsidR="001732E2" w:rsidRDefault="001732E2" w:rsidP="005906E3">
      <w:pPr>
        <w:jc w:val="both"/>
        <w:rPr>
          <w:i/>
          <w:iCs/>
          <w:sz w:val="24"/>
          <w:szCs w:val="24"/>
        </w:rPr>
      </w:pPr>
    </w:p>
    <w:p w14:paraId="1CEF4ED1" w14:textId="4595BD44" w:rsidR="00C365EB" w:rsidRPr="00F30558" w:rsidRDefault="001732E2" w:rsidP="005906E3">
      <w:pPr>
        <w:pStyle w:val="Heading3"/>
        <w:jc w:val="both"/>
        <w:rPr>
          <w:rFonts w:ascii="Times New Roman" w:eastAsia="Times New Roman" w:hAnsi="Times New Roman" w:cs="Times New Roman"/>
          <w:b/>
          <w:bCs/>
          <w:color w:val="auto"/>
        </w:rPr>
      </w:pPr>
      <w:bookmarkStart w:id="5" w:name="_Toc161308489"/>
      <w:r w:rsidRPr="00F30558">
        <w:rPr>
          <w:rFonts w:ascii="Times New Roman" w:eastAsia="Times New Roman" w:hAnsi="Times New Roman" w:cs="Times New Roman"/>
          <w:b/>
          <w:bCs/>
          <w:color w:val="auto"/>
        </w:rPr>
        <w:t>S</w:t>
      </w:r>
      <w:r w:rsidR="00FE4683">
        <w:rPr>
          <w:rFonts w:ascii="Times New Roman" w:eastAsia="Times New Roman" w:hAnsi="Times New Roman" w:cs="Times New Roman"/>
          <w:b/>
          <w:bCs/>
          <w:color w:val="auto"/>
        </w:rPr>
        <w:t xml:space="preserve">ervizi </w:t>
      </w:r>
      <w:r w:rsidR="00C7059C">
        <w:rPr>
          <w:rFonts w:ascii="Times New Roman" w:eastAsia="Times New Roman" w:hAnsi="Times New Roman" w:cs="Times New Roman"/>
          <w:b/>
          <w:bCs/>
          <w:color w:val="auto"/>
        </w:rPr>
        <w:t xml:space="preserve">di Gestione </w:t>
      </w:r>
      <w:r w:rsidR="008C4FB8">
        <w:rPr>
          <w:rFonts w:ascii="Times New Roman" w:eastAsia="Times New Roman" w:hAnsi="Times New Roman" w:cs="Times New Roman"/>
          <w:b/>
          <w:bCs/>
          <w:color w:val="auto"/>
        </w:rPr>
        <w:t>e Manutenzione</w:t>
      </w:r>
      <w:bookmarkEnd w:id="5"/>
    </w:p>
    <w:p w14:paraId="79C2BD4E" w14:textId="511E439C" w:rsidR="001732E2" w:rsidRPr="00FE4683" w:rsidRDefault="00FE4683" w:rsidP="00C7059C">
      <w:pPr>
        <w:pStyle w:val="BodyText"/>
        <w:tabs>
          <w:tab w:val="left" w:pos="9072"/>
        </w:tabs>
        <w:spacing w:before="117" w:after="240"/>
        <w:jc w:val="both"/>
        <w:rPr>
          <w:i/>
          <w:iCs/>
        </w:rPr>
      </w:pPr>
      <w:r w:rsidRPr="00BA39A9">
        <w:rPr>
          <w:i/>
          <w:iCs/>
        </w:rPr>
        <w:t>I</w:t>
      </w:r>
      <w:r>
        <w:rPr>
          <w:i/>
          <w:iCs/>
        </w:rPr>
        <w:t xml:space="preserve"> ser</w:t>
      </w:r>
      <w:r w:rsidRPr="00FE4683">
        <w:rPr>
          <w:i/>
          <w:iCs/>
        </w:rPr>
        <w:t xml:space="preserve">vizi </w:t>
      </w:r>
      <w:r w:rsidR="00C7059C">
        <w:rPr>
          <w:i/>
          <w:iCs/>
        </w:rPr>
        <w:t>di Gestione del Portafoglio Applicativo si articolano in:</w:t>
      </w:r>
    </w:p>
    <w:p w14:paraId="2E608F54" w14:textId="238F3C3D" w:rsidR="00C7059C" w:rsidRPr="00C7059C" w:rsidRDefault="00C7059C" w:rsidP="00C7059C">
      <w:pPr>
        <w:pStyle w:val="ListParagraph"/>
        <w:numPr>
          <w:ilvl w:val="0"/>
          <w:numId w:val="13"/>
        </w:numPr>
        <w:jc w:val="both"/>
        <w:rPr>
          <w:i/>
          <w:iCs/>
          <w:sz w:val="24"/>
          <w:szCs w:val="24"/>
        </w:rPr>
      </w:pPr>
      <w:r w:rsidRPr="00C7059C">
        <w:rPr>
          <w:i/>
          <w:iCs/>
          <w:sz w:val="24"/>
          <w:szCs w:val="24"/>
        </w:rPr>
        <w:t>Gestione applicativi e basi dati</w:t>
      </w:r>
      <w:r>
        <w:rPr>
          <w:i/>
          <w:iCs/>
          <w:sz w:val="24"/>
          <w:szCs w:val="24"/>
        </w:rPr>
        <w:t xml:space="preserve">, </w:t>
      </w:r>
      <w:r w:rsidRPr="00C7059C">
        <w:rPr>
          <w:i/>
          <w:iCs/>
          <w:sz w:val="24"/>
          <w:szCs w:val="24"/>
        </w:rPr>
        <w:t>comprende l’insieme di attività, risorse e strumenti di supporto per la gestione delle applicazioni prevalentemente gestionali, delle loro relative basi dati e data services</w:t>
      </w:r>
      <w:r>
        <w:rPr>
          <w:i/>
          <w:iCs/>
          <w:sz w:val="24"/>
          <w:szCs w:val="24"/>
        </w:rPr>
        <w:t>;</w:t>
      </w:r>
      <w:r w:rsidRPr="00C7059C">
        <w:rPr>
          <w:i/>
          <w:iCs/>
          <w:sz w:val="24"/>
          <w:szCs w:val="24"/>
        </w:rPr>
        <w:t xml:space="preserve"> </w:t>
      </w:r>
    </w:p>
    <w:p w14:paraId="496764A1" w14:textId="481D66C6" w:rsidR="00C7059C" w:rsidRPr="00C7059C" w:rsidRDefault="00C7059C" w:rsidP="00C7059C">
      <w:pPr>
        <w:pStyle w:val="ListParagraph"/>
        <w:numPr>
          <w:ilvl w:val="0"/>
          <w:numId w:val="13"/>
        </w:numPr>
        <w:jc w:val="both"/>
        <w:rPr>
          <w:i/>
          <w:iCs/>
          <w:sz w:val="24"/>
          <w:szCs w:val="24"/>
        </w:rPr>
      </w:pPr>
      <w:r w:rsidRPr="00C7059C">
        <w:rPr>
          <w:i/>
          <w:iCs/>
          <w:sz w:val="24"/>
          <w:szCs w:val="24"/>
        </w:rPr>
        <w:t>Gestione del Front-End Digitale, Publishing e contenuti di Siti Web</w:t>
      </w:r>
      <w:r>
        <w:rPr>
          <w:i/>
          <w:iCs/>
          <w:sz w:val="24"/>
          <w:szCs w:val="24"/>
        </w:rPr>
        <w:t xml:space="preserve">, comprende le attività di gestione </w:t>
      </w:r>
      <w:r w:rsidRPr="00C7059C">
        <w:rPr>
          <w:i/>
          <w:iCs/>
          <w:sz w:val="24"/>
          <w:szCs w:val="24"/>
        </w:rPr>
        <w:t>dell’insieme dei sistemi/applicazioni/strumenti che compongono l’identità digitale dell’Amministrazione quali siti, portali, mobile app, canali web, piattaforme di Enterprise Social &amp; Collaboration</w:t>
      </w:r>
      <w:r>
        <w:rPr>
          <w:i/>
          <w:iCs/>
          <w:sz w:val="24"/>
          <w:szCs w:val="24"/>
        </w:rPr>
        <w:t>;</w:t>
      </w:r>
    </w:p>
    <w:p w14:paraId="1E8C4989" w14:textId="2E032C5B" w:rsidR="00C7059C" w:rsidRPr="00C7059C" w:rsidRDefault="00C7059C" w:rsidP="00C7059C">
      <w:pPr>
        <w:pStyle w:val="ListParagraph"/>
        <w:numPr>
          <w:ilvl w:val="0"/>
          <w:numId w:val="13"/>
        </w:numPr>
        <w:jc w:val="both"/>
        <w:rPr>
          <w:i/>
          <w:iCs/>
          <w:sz w:val="24"/>
          <w:szCs w:val="24"/>
        </w:rPr>
      </w:pPr>
      <w:r w:rsidRPr="00C7059C">
        <w:rPr>
          <w:i/>
          <w:iCs/>
          <w:sz w:val="24"/>
          <w:szCs w:val="24"/>
        </w:rPr>
        <w:t>Gestione Trasversale del Portafoglio Applicativo</w:t>
      </w:r>
      <w:r>
        <w:rPr>
          <w:i/>
          <w:iCs/>
          <w:sz w:val="24"/>
          <w:szCs w:val="24"/>
        </w:rPr>
        <w:t>, comprende la c</w:t>
      </w:r>
      <w:r w:rsidRPr="00C7059C">
        <w:rPr>
          <w:i/>
          <w:iCs/>
          <w:sz w:val="24"/>
          <w:szCs w:val="24"/>
        </w:rPr>
        <w:t>onfigurazione di entrambi i precedenti servizi in modo unitario</w:t>
      </w:r>
      <w:r>
        <w:rPr>
          <w:i/>
          <w:iCs/>
          <w:sz w:val="24"/>
          <w:szCs w:val="24"/>
        </w:rPr>
        <w:t>.</w:t>
      </w:r>
      <w:r w:rsidRPr="00C7059C">
        <w:rPr>
          <w:i/>
          <w:iCs/>
          <w:sz w:val="24"/>
          <w:szCs w:val="24"/>
        </w:rPr>
        <w:t xml:space="preserve"> </w:t>
      </w:r>
    </w:p>
    <w:p w14:paraId="37EF5BF4" w14:textId="77777777" w:rsidR="008C4FB8" w:rsidRDefault="008C4FB8" w:rsidP="008C4FB8">
      <w:pPr>
        <w:jc w:val="both"/>
        <w:rPr>
          <w:i/>
          <w:iCs/>
          <w:sz w:val="24"/>
          <w:szCs w:val="24"/>
        </w:rPr>
      </w:pPr>
    </w:p>
    <w:p w14:paraId="0DD7C709" w14:textId="18BA2377" w:rsidR="008C4FB8" w:rsidRPr="008C4FB8" w:rsidRDefault="008C4FB8" w:rsidP="008C4FB8">
      <w:pPr>
        <w:jc w:val="both"/>
        <w:rPr>
          <w:i/>
          <w:iCs/>
          <w:sz w:val="24"/>
          <w:szCs w:val="24"/>
        </w:rPr>
      </w:pPr>
      <w:r w:rsidRPr="008C4FB8">
        <w:rPr>
          <w:i/>
          <w:iCs/>
          <w:sz w:val="24"/>
          <w:szCs w:val="24"/>
        </w:rPr>
        <w:t>Mentre i servizi di Manutenzione si articolano in:</w:t>
      </w:r>
    </w:p>
    <w:p w14:paraId="05237303" w14:textId="711931A4" w:rsidR="00FE4683" w:rsidRDefault="00FE4683" w:rsidP="008C4FB8">
      <w:pPr>
        <w:jc w:val="both"/>
        <w:rPr>
          <w:i/>
          <w:iCs/>
          <w:sz w:val="24"/>
          <w:szCs w:val="24"/>
        </w:rPr>
      </w:pPr>
    </w:p>
    <w:p w14:paraId="00278F60" w14:textId="77777777" w:rsidR="008C4FB8" w:rsidRPr="00A57C82" w:rsidRDefault="008C4FB8" w:rsidP="008C4FB8">
      <w:pPr>
        <w:pStyle w:val="ListParagraph"/>
        <w:numPr>
          <w:ilvl w:val="0"/>
          <w:numId w:val="13"/>
        </w:numPr>
        <w:jc w:val="both"/>
        <w:rPr>
          <w:i/>
          <w:iCs/>
          <w:sz w:val="24"/>
          <w:szCs w:val="24"/>
        </w:rPr>
      </w:pPr>
      <w:r w:rsidRPr="005E4F5F">
        <w:rPr>
          <w:i/>
          <w:iCs/>
          <w:sz w:val="24"/>
          <w:szCs w:val="24"/>
        </w:rPr>
        <w:t xml:space="preserve">Manutenzione </w:t>
      </w:r>
      <w:proofErr w:type="spellStart"/>
      <w:r w:rsidRPr="005E4F5F">
        <w:rPr>
          <w:i/>
          <w:iCs/>
          <w:sz w:val="24"/>
          <w:szCs w:val="24"/>
        </w:rPr>
        <w:t>Adeguativa</w:t>
      </w:r>
      <w:proofErr w:type="spellEnd"/>
      <w:r>
        <w:rPr>
          <w:i/>
          <w:iCs/>
          <w:sz w:val="24"/>
          <w:szCs w:val="24"/>
        </w:rPr>
        <w:t>,</w:t>
      </w:r>
      <w:r w:rsidRPr="005E4F5F">
        <w:rPr>
          <w:i/>
          <w:iCs/>
          <w:sz w:val="24"/>
          <w:szCs w:val="24"/>
        </w:rPr>
        <w:t xml:space="preserve"> </w:t>
      </w:r>
      <w:r w:rsidRPr="00A57C82">
        <w:rPr>
          <w:i/>
          <w:iCs/>
          <w:sz w:val="24"/>
          <w:szCs w:val="24"/>
        </w:rPr>
        <w:t>comprende l’attività volta ad assicurare la costante aderenza delle procedure e dei programmi all’evoluzione dell’ambiente tecnologico del sistema</w:t>
      </w:r>
      <w:r>
        <w:rPr>
          <w:i/>
          <w:iCs/>
          <w:sz w:val="24"/>
          <w:szCs w:val="24"/>
        </w:rPr>
        <w:t xml:space="preserve"> </w:t>
      </w:r>
      <w:r w:rsidRPr="00A57C82">
        <w:rPr>
          <w:i/>
          <w:iCs/>
          <w:sz w:val="24"/>
          <w:szCs w:val="24"/>
        </w:rPr>
        <w:t>informativ</w:t>
      </w:r>
      <w:r>
        <w:rPr>
          <w:i/>
          <w:iCs/>
          <w:sz w:val="24"/>
          <w:szCs w:val="24"/>
        </w:rPr>
        <w:t>o;</w:t>
      </w:r>
    </w:p>
    <w:p w14:paraId="08B4103F" w14:textId="77777777" w:rsidR="008C4FB8" w:rsidRPr="005E4F5F" w:rsidRDefault="008C4FB8" w:rsidP="008C4FB8">
      <w:pPr>
        <w:pStyle w:val="ListParagraph"/>
        <w:numPr>
          <w:ilvl w:val="0"/>
          <w:numId w:val="13"/>
        </w:numPr>
        <w:jc w:val="both"/>
        <w:rPr>
          <w:i/>
          <w:iCs/>
          <w:sz w:val="24"/>
          <w:szCs w:val="24"/>
        </w:rPr>
      </w:pPr>
      <w:r w:rsidRPr="005E4F5F">
        <w:rPr>
          <w:i/>
          <w:iCs/>
          <w:sz w:val="24"/>
          <w:szCs w:val="24"/>
        </w:rPr>
        <w:t>Manutenzione Correttiva di “SW pregresso e non in garanzia”</w:t>
      </w:r>
      <w:r>
        <w:rPr>
          <w:i/>
          <w:iCs/>
          <w:sz w:val="24"/>
          <w:szCs w:val="24"/>
        </w:rPr>
        <w:t>, comprende l’attività svolta a correggere eventuali anomalie derivanti da segnalazioni, le quali impediscono le normali funzionalità delle applicazioni;</w:t>
      </w:r>
      <w:r w:rsidRPr="005E4F5F">
        <w:rPr>
          <w:i/>
          <w:iCs/>
          <w:sz w:val="24"/>
          <w:szCs w:val="24"/>
        </w:rPr>
        <w:t xml:space="preserve"> </w:t>
      </w:r>
    </w:p>
    <w:p w14:paraId="7EE00778" w14:textId="77777777" w:rsidR="008C4FB8" w:rsidRPr="00C7059C" w:rsidRDefault="008C4FB8" w:rsidP="008C4FB8">
      <w:pPr>
        <w:pStyle w:val="ListParagraph"/>
        <w:numPr>
          <w:ilvl w:val="0"/>
          <w:numId w:val="13"/>
        </w:numPr>
        <w:jc w:val="both"/>
        <w:rPr>
          <w:i/>
          <w:iCs/>
          <w:sz w:val="24"/>
          <w:szCs w:val="24"/>
        </w:rPr>
      </w:pPr>
      <w:r w:rsidRPr="005E4F5F">
        <w:rPr>
          <w:i/>
          <w:iCs/>
          <w:sz w:val="24"/>
          <w:szCs w:val="24"/>
        </w:rPr>
        <w:t xml:space="preserve">Manutenzione </w:t>
      </w:r>
      <w:proofErr w:type="spellStart"/>
      <w:r w:rsidRPr="005E4F5F">
        <w:rPr>
          <w:i/>
          <w:iCs/>
          <w:sz w:val="24"/>
          <w:szCs w:val="24"/>
        </w:rPr>
        <w:t>Adeguativa</w:t>
      </w:r>
      <w:proofErr w:type="spellEnd"/>
      <w:r w:rsidRPr="005E4F5F">
        <w:rPr>
          <w:i/>
          <w:iCs/>
          <w:sz w:val="24"/>
          <w:szCs w:val="24"/>
        </w:rPr>
        <w:t xml:space="preserve"> e Manutenzione Correttiva di “SW pregresso e non in garanzia”</w:t>
      </w:r>
      <w:r>
        <w:rPr>
          <w:i/>
          <w:iCs/>
          <w:sz w:val="24"/>
          <w:szCs w:val="24"/>
        </w:rPr>
        <w:t xml:space="preserve">, comprende due classi di servizio, in base alla rilevanza delle criticità delle applicazioni e/o componenti in questione. Nello specifico il servizio potrà essere standard, ossia una </w:t>
      </w:r>
      <w:r w:rsidRPr="00A57C82">
        <w:rPr>
          <w:i/>
          <w:iCs/>
          <w:sz w:val="24"/>
          <w:szCs w:val="24"/>
        </w:rPr>
        <w:t>copertura base, normalmente adatto ad applicazioni che non rivestono un carattere di criticità significativ</w:t>
      </w:r>
      <w:r>
        <w:rPr>
          <w:i/>
          <w:iCs/>
          <w:sz w:val="24"/>
          <w:szCs w:val="24"/>
        </w:rPr>
        <w:t xml:space="preserve">o oppure Premium, ossia </w:t>
      </w:r>
      <w:r w:rsidRPr="00C7059C">
        <w:rPr>
          <w:i/>
          <w:iCs/>
          <w:sz w:val="24"/>
          <w:szCs w:val="24"/>
        </w:rPr>
        <w:t>copertura avanzato, adatto per le applicazioni di tipo “mission-</w:t>
      </w:r>
      <w:proofErr w:type="spellStart"/>
      <w:r w:rsidRPr="00C7059C">
        <w:rPr>
          <w:i/>
          <w:iCs/>
          <w:sz w:val="24"/>
          <w:szCs w:val="24"/>
        </w:rPr>
        <w:t>critical</w:t>
      </w:r>
      <w:proofErr w:type="spellEnd"/>
      <w:r w:rsidRPr="00C7059C">
        <w:rPr>
          <w:i/>
          <w:iCs/>
          <w:sz w:val="24"/>
          <w:szCs w:val="24"/>
        </w:rPr>
        <w:t>” che necessitano di maggiore tempestività di risoluzione dei malfunzionamenti, maggiori garanzie di riduzioni degli errori ricorsivi e maggiore qualità su tutto il processo</w:t>
      </w:r>
      <w:r>
        <w:rPr>
          <w:i/>
          <w:iCs/>
          <w:sz w:val="24"/>
          <w:szCs w:val="24"/>
        </w:rPr>
        <w:t>.</w:t>
      </w:r>
    </w:p>
    <w:p w14:paraId="6E925DDB" w14:textId="77777777" w:rsidR="008C4FB8" w:rsidRPr="008C4FB8" w:rsidRDefault="008C4FB8" w:rsidP="008C4FB8">
      <w:pPr>
        <w:jc w:val="both"/>
        <w:rPr>
          <w:i/>
          <w:iCs/>
          <w:sz w:val="24"/>
          <w:szCs w:val="24"/>
        </w:rPr>
      </w:pPr>
    </w:p>
    <w:p w14:paraId="2B7915FD" w14:textId="2FFFE38D" w:rsidR="00FE4683" w:rsidRDefault="00FE4683" w:rsidP="00FE4683">
      <w:pPr>
        <w:jc w:val="both"/>
        <w:rPr>
          <w:i/>
          <w:iCs/>
          <w:sz w:val="24"/>
          <w:szCs w:val="24"/>
        </w:rPr>
      </w:pPr>
      <w:r w:rsidRPr="007C63A9">
        <w:rPr>
          <w:i/>
          <w:iCs/>
          <w:sz w:val="24"/>
          <w:szCs w:val="24"/>
        </w:rPr>
        <w:t>Il valore economico contrattuale associato a questa attività/servizio</w:t>
      </w:r>
      <w:r>
        <w:rPr>
          <w:i/>
          <w:iCs/>
          <w:sz w:val="24"/>
          <w:szCs w:val="24"/>
        </w:rPr>
        <w:t xml:space="preserve"> è</w:t>
      </w:r>
      <w:r w:rsidR="00C9357F" w:rsidRPr="00C9357F">
        <w:t xml:space="preserve"> </w:t>
      </w:r>
      <w:r w:rsidR="00C9357F" w:rsidRPr="00C9357F">
        <w:rPr>
          <w:i/>
          <w:iCs/>
          <w:sz w:val="24"/>
          <w:szCs w:val="24"/>
        </w:rPr>
        <w:t>671.200,00</w:t>
      </w:r>
      <w:r w:rsidR="00C9357F">
        <w:rPr>
          <w:i/>
          <w:iCs/>
          <w:sz w:val="24"/>
          <w:szCs w:val="24"/>
        </w:rPr>
        <w:t xml:space="preserve"> </w:t>
      </w:r>
      <w:r>
        <w:rPr>
          <w:i/>
          <w:iCs/>
          <w:sz w:val="24"/>
          <w:szCs w:val="24"/>
        </w:rPr>
        <w:t>euro IVA esclusa.</w:t>
      </w:r>
    </w:p>
    <w:p w14:paraId="4B843F31" w14:textId="1634A440" w:rsidR="00FE4683" w:rsidRDefault="00FE4683" w:rsidP="00FE4683">
      <w:pPr>
        <w:jc w:val="both"/>
        <w:rPr>
          <w:sz w:val="24"/>
          <w:szCs w:val="24"/>
        </w:rPr>
      </w:pPr>
    </w:p>
    <w:p w14:paraId="7C8DF31A" w14:textId="6CB43410" w:rsidR="00A829A3" w:rsidRDefault="00A829A3" w:rsidP="00FE4683">
      <w:pPr>
        <w:jc w:val="both"/>
        <w:rPr>
          <w:sz w:val="24"/>
          <w:szCs w:val="24"/>
        </w:rPr>
      </w:pPr>
    </w:p>
    <w:p w14:paraId="583E4152" w14:textId="675CDC33" w:rsidR="00A829A3" w:rsidRDefault="00A829A3" w:rsidP="00FE4683">
      <w:pPr>
        <w:jc w:val="both"/>
        <w:rPr>
          <w:sz w:val="24"/>
          <w:szCs w:val="24"/>
        </w:rPr>
      </w:pPr>
    </w:p>
    <w:p w14:paraId="70788291" w14:textId="3166A661" w:rsidR="00A829A3" w:rsidRDefault="00A829A3" w:rsidP="00FE4683">
      <w:pPr>
        <w:jc w:val="both"/>
        <w:rPr>
          <w:sz w:val="24"/>
          <w:szCs w:val="24"/>
        </w:rPr>
      </w:pPr>
    </w:p>
    <w:p w14:paraId="4A0993C8" w14:textId="77777777" w:rsidR="00E3309A" w:rsidRDefault="00E3309A" w:rsidP="00FE4683">
      <w:pPr>
        <w:jc w:val="both"/>
        <w:rPr>
          <w:sz w:val="24"/>
          <w:szCs w:val="24"/>
        </w:rPr>
      </w:pPr>
    </w:p>
    <w:p w14:paraId="5D432573" w14:textId="77777777" w:rsidR="004E7A0E" w:rsidRDefault="004E7A0E" w:rsidP="00FE4683">
      <w:pPr>
        <w:jc w:val="both"/>
        <w:rPr>
          <w:sz w:val="24"/>
          <w:szCs w:val="24"/>
        </w:rPr>
      </w:pPr>
    </w:p>
    <w:p w14:paraId="5DA9AE31" w14:textId="4F5B2D25" w:rsidR="00FE4683" w:rsidRPr="00FE4683" w:rsidRDefault="00FE4683" w:rsidP="00FE4683">
      <w:pPr>
        <w:pStyle w:val="Heading3"/>
        <w:rPr>
          <w:rFonts w:ascii="Times New Roman" w:eastAsia="Times New Roman" w:hAnsi="Times New Roman" w:cs="Times New Roman"/>
          <w:b/>
          <w:bCs/>
          <w:color w:val="auto"/>
        </w:rPr>
      </w:pPr>
      <w:bookmarkStart w:id="6" w:name="_Toc161308490"/>
      <w:r w:rsidRPr="00FE4683">
        <w:rPr>
          <w:rFonts w:ascii="Times New Roman" w:eastAsia="Times New Roman" w:hAnsi="Times New Roman" w:cs="Times New Roman"/>
          <w:b/>
          <w:bCs/>
          <w:color w:val="auto"/>
        </w:rPr>
        <w:lastRenderedPageBreak/>
        <w:t xml:space="preserve">Servizi </w:t>
      </w:r>
      <w:r w:rsidR="004E7A0E">
        <w:rPr>
          <w:rFonts w:ascii="Times New Roman" w:eastAsia="Times New Roman" w:hAnsi="Times New Roman" w:cs="Times New Roman"/>
          <w:b/>
          <w:bCs/>
          <w:color w:val="auto"/>
        </w:rPr>
        <w:t>Specialistici</w:t>
      </w:r>
      <w:bookmarkEnd w:id="6"/>
    </w:p>
    <w:p w14:paraId="1BF2E27A" w14:textId="4FE7242E" w:rsidR="00FE4683" w:rsidRDefault="00FE4683" w:rsidP="00FE4683"/>
    <w:p w14:paraId="66A93990" w14:textId="75ABA2F6" w:rsidR="00FE4683" w:rsidRPr="004E7A0E" w:rsidRDefault="00FE4683" w:rsidP="00FE4683">
      <w:pPr>
        <w:rPr>
          <w:i/>
          <w:iCs/>
          <w:sz w:val="24"/>
          <w:szCs w:val="24"/>
        </w:rPr>
      </w:pPr>
      <w:r w:rsidRPr="004E7A0E">
        <w:rPr>
          <w:i/>
          <w:iCs/>
          <w:sz w:val="24"/>
          <w:szCs w:val="24"/>
        </w:rPr>
        <w:t xml:space="preserve">I servizi </w:t>
      </w:r>
      <w:r w:rsidR="004E7A0E">
        <w:rPr>
          <w:i/>
          <w:iCs/>
          <w:sz w:val="24"/>
          <w:szCs w:val="24"/>
        </w:rPr>
        <w:t xml:space="preserve">specialistici </w:t>
      </w:r>
      <w:r w:rsidRPr="004E7A0E">
        <w:rPr>
          <w:i/>
          <w:iCs/>
          <w:sz w:val="24"/>
          <w:szCs w:val="24"/>
        </w:rPr>
        <w:t>si articolano in:</w:t>
      </w:r>
    </w:p>
    <w:p w14:paraId="05124480" w14:textId="77777777" w:rsidR="00FE4683" w:rsidRDefault="00FE4683" w:rsidP="00FE4683">
      <w:pPr>
        <w:jc w:val="both"/>
      </w:pPr>
    </w:p>
    <w:p w14:paraId="2D36597F" w14:textId="4F5C594D" w:rsidR="004E7A0E" w:rsidRPr="004E7A0E" w:rsidRDefault="004E7A0E" w:rsidP="004E7A0E">
      <w:pPr>
        <w:pStyle w:val="ListParagraph"/>
        <w:numPr>
          <w:ilvl w:val="0"/>
          <w:numId w:val="13"/>
        </w:numPr>
        <w:jc w:val="both"/>
        <w:rPr>
          <w:i/>
          <w:iCs/>
          <w:sz w:val="24"/>
          <w:szCs w:val="24"/>
        </w:rPr>
      </w:pPr>
      <w:r w:rsidRPr="004E7A0E">
        <w:rPr>
          <w:i/>
          <w:iCs/>
          <w:sz w:val="24"/>
          <w:szCs w:val="24"/>
        </w:rPr>
        <w:t xml:space="preserve">Servizio di Sviluppo </w:t>
      </w:r>
      <w:proofErr w:type="gramStart"/>
      <w:r w:rsidRPr="004E7A0E">
        <w:rPr>
          <w:i/>
          <w:iCs/>
          <w:sz w:val="24"/>
          <w:szCs w:val="24"/>
        </w:rPr>
        <w:t>e</w:t>
      </w:r>
      <w:proofErr w:type="gramEnd"/>
      <w:r w:rsidRPr="004E7A0E">
        <w:rPr>
          <w:i/>
          <w:iCs/>
          <w:sz w:val="24"/>
          <w:szCs w:val="24"/>
        </w:rPr>
        <w:t xml:space="preserve"> Evoluzione SW in co-working con l’Amministrazione</w:t>
      </w:r>
      <w:r>
        <w:rPr>
          <w:i/>
          <w:iCs/>
          <w:sz w:val="24"/>
          <w:szCs w:val="24"/>
        </w:rPr>
        <w:t xml:space="preserve">, prevede la </w:t>
      </w:r>
      <w:r w:rsidRPr="004E7A0E">
        <w:rPr>
          <w:i/>
          <w:iCs/>
          <w:sz w:val="24"/>
          <w:szCs w:val="24"/>
        </w:rPr>
        <w:t>costituzione di un team misto di risorse del fornitore e dell’amministrazione, in modo da permettere la valorizzazione delle reciproche competenze tecnologiche e tematiche in un contesto sinergico e di contaminazione delle competenze per il raggiungimento degli</w:t>
      </w:r>
      <w:r>
        <w:rPr>
          <w:i/>
          <w:iCs/>
          <w:sz w:val="24"/>
          <w:szCs w:val="24"/>
        </w:rPr>
        <w:t xml:space="preserve"> </w:t>
      </w:r>
      <w:r w:rsidRPr="004E7A0E">
        <w:rPr>
          <w:i/>
          <w:iCs/>
          <w:sz w:val="24"/>
          <w:szCs w:val="24"/>
        </w:rPr>
        <w:t>obiettivi progettuali</w:t>
      </w:r>
      <w:r>
        <w:rPr>
          <w:i/>
          <w:iCs/>
          <w:sz w:val="24"/>
          <w:szCs w:val="24"/>
        </w:rPr>
        <w:t>;</w:t>
      </w:r>
      <w:r w:rsidRPr="004E7A0E">
        <w:rPr>
          <w:i/>
          <w:iCs/>
          <w:sz w:val="24"/>
          <w:szCs w:val="24"/>
        </w:rPr>
        <w:t xml:space="preserve"> </w:t>
      </w:r>
    </w:p>
    <w:p w14:paraId="19142239" w14:textId="6A2EA6BF" w:rsidR="004E7A0E" w:rsidRPr="004E7A0E" w:rsidRDefault="004E7A0E" w:rsidP="004E7A0E">
      <w:pPr>
        <w:pStyle w:val="ListParagraph"/>
        <w:numPr>
          <w:ilvl w:val="0"/>
          <w:numId w:val="13"/>
        </w:numPr>
        <w:jc w:val="both"/>
        <w:rPr>
          <w:i/>
          <w:iCs/>
          <w:sz w:val="24"/>
          <w:szCs w:val="24"/>
        </w:rPr>
      </w:pPr>
      <w:r w:rsidRPr="004E7A0E">
        <w:rPr>
          <w:i/>
          <w:iCs/>
          <w:sz w:val="24"/>
          <w:szCs w:val="24"/>
        </w:rPr>
        <w:t>Servizi di Supporto Specialistico ICT</w:t>
      </w:r>
      <w:r>
        <w:rPr>
          <w:i/>
          <w:iCs/>
          <w:sz w:val="24"/>
          <w:szCs w:val="24"/>
        </w:rPr>
        <w:t>,</w:t>
      </w:r>
      <w:r w:rsidRPr="004E7A0E">
        <w:rPr>
          <w:i/>
          <w:iCs/>
          <w:sz w:val="24"/>
          <w:szCs w:val="24"/>
        </w:rPr>
        <w:t xml:space="preserve"> o comprende attività di supporto in ambito ICT</w:t>
      </w:r>
      <w:r>
        <w:rPr>
          <w:i/>
          <w:iCs/>
          <w:sz w:val="24"/>
          <w:szCs w:val="24"/>
        </w:rPr>
        <w:t xml:space="preserve"> </w:t>
      </w:r>
      <w:r w:rsidRPr="004E7A0E">
        <w:rPr>
          <w:i/>
          <w:iCs/>
          <w:sz w:val="24"/>
          <w:szCs w:val="24"/>
        </w:rPr>
        <w:t>all’Amministrazione con la finalità di assicurare risposte altamente specialistiche per indirizzare le scelte tecnologiche e di prodotto, comprendere trend tecnologici e opportunità di ottimizzazione dell’infrastruttura applicativa e introduzione/aggiornamento di strumenti a supporto delle attività ICT per incrementare affidabilità, co-working, agilità, valutare il grado di digitalizzazione, di interoperabilità, di sicurezza applicativa, di aderenza a standard e linee guida, proporre piani di azione trasversale</w:t>
      </w:r>
      <w:r>
        <w:rPr>
          <w:i/>
          <w:iCs/>
          <w:sz w:val="24"/>
          <w:szCs w:val="24"/>
        </w:rPr>
        <w:t xml:space="preserve"> </w:t>
      </w:r>
      <w:r w:rsidRPr="004E7A0E">
        <w:rPr>
          <w:i/>
          <w:iCs/>
          <w:sz w:val="24"/>
          <w:szCs w:val="24"/>
        </w:rPr>
        <w:t>ai progetti ed ai servizi su obiettivi di innovazione e standardizzazione</w:t>
      </w:r>
      <w:r>
        <w:rPr>
          <w:i/>
          <w:iCs/>
          <w:sz w:val="24"/>
          <w:szCs w:val="24"/>
        </w:rPr>
        <w:t>;</w:t>
      </w:r>
    </w:p>
    <w:p w14:paraId="3471AA51" w14:textId="19A0C20D" w:rsidR="004E7A0E" w:rsidRDefault="004E7A0E" w:rsidP="00712188">
      <w:pPr>
        <w:pStyle w:val="ListParagraph"/>
        <w:numPr>
          <w:ilvl w:val="0"/>
          <w:numId w:val="13"/>
        </w:numPr>
        <w:jc w:val="both"/>
        <w:rPr>
          <w:i/>
          <w:iCs/>
          <w:sz w:val="24"/>
          <w:szCs w:val="24"/>
        </w:rPr>
      </w:pPr>
      <w:r w:rsidRPr="004E7A0E">
        <w:rPr>
          <w:i/>
          <w:iCs/>
          <w:sz w:val="24"/>
          <w:szCs w:val="24"/>
        </w:rPr>
        <w:t xml:space="preserve">Servizio di Software Quality Assurance, Compliance e </w:t>
      </w:r>
      <w:proofErr w:type="spellStart"/>
      <w:r w:rsidRPr="004E7A0E">
        <w:rPr>
          <w:i/>
          <w:iCs/>
          <w:sz w:val="24"/>
          <w:szCs w:val="24"/>
        </w:rPr>
        <w:t>Measurement</w:t>
      </w:r>
      <w:proofErr w:type="spellEnd"/>
      <w:r>
        <w:rPr>
          <w:i/>
          <w:iCs/>
          <w:sz w:val="24"/>
          <w:szCs w:val="24"/>
        </w:rPr>
        <w:t xml:space="preserve">, </w:t>
      </w:r>
      <w:r w:rsidRPr="004E7A0E">
        <w:rPr>
          <w:i/>
          <w:iCs/>
          <w:sz w:val="24"/>
          <w:szCs w:val="24"/>
        </w:rPr>
        <w:t>comprende attività di supporto all’Amministrazione</w:t>
      </w:r>
      <w:r>
        <w:rPr>
          <w:i/>
          <w:iCs/>
          <w:sz w:val="24"/>
          <w:szCs w:val="24"/>
        </w:rPr>
        <w:t xml:space="preserve"> </w:t>
      </w:r>
      <w:r w:rsidRPr="004E7A0E">
        <w:rPr>
          <w:i/>
          <w:iCs/>
          <w:sz w:val="24"/>
          <w:szCs w:val="24"/>
        </w:rPr>
        <w:t>nel seguire l’impostazione metodologica e governare l’esecuzione delle attività del ciclo di vita di una fornitura SW, affinché i prodotti realizzati e i processi svolti siano conformi ai requisiti richiesti e ai livelli di servizio previsti</w:t>
      </w:r>
      <w:r w:rsidR="00712188">
        <w:rPr>
          <w:i/>
          <w:iCs/>
          <w:sz w:val="24"/>
          <w:szCs w:val="24"/>
        </w:rPr>
        <w:t>.</w:t>
      </w:r>
    </w:p>
    <w:p w14:paraId="7E88B82E" w14:textId="77777777" w:rsidR="00712188" w:rsidRPr="00712188" w:rsidRDefault="00712188" w:rsidP="00712188">
      <w:pPr>
        <w:pStyle w:val="ListParagraph"/>
        <w:ind w:left="720" w:firstLine="0"/>
        <w:jc w:val="both"/>
        <w:rPr>
          <w:i/>
          <w:iCs/>
          <w:sz w:val="24"/>
          <w:szCs w:val="24"/>
        </w:rPr>
      </w:pPr>
    </w:p>
    <w:p w14:paraId="063B717B" w14:textId="320278FD" w:rsidR="00FE4683" w:rsidRDefault="00FE4683" w:rsidP="00FE4683">
      <w:pPr>
        <w:jc w:val="both"/>
        <w:rPr>
          <w:i/>
          <w:iCs/>
          <w:sz w:val="24"/>
          <w:szCs w:val="24"/>
        </w:rPr>
      </w:pPr>
      <w:r w:rsidRPr="007C63A9">
        <w:rPr>
          <w:i/>
          <w:iCs/>
          <w:sz w:val="24"/>
          <w:szCs w:val="24"/>
        </w:rPr>
        <w:t>Il valore economico contrattuale associato a questa attività/servizio</w:t>
      </w:r>
      <w:r>
        <w:rPr>
          <w:i/>
          <w:iCs/>
          <w:sz w:val="24"/>
          <w:szCs w:val="24"/>
        </w:rPr>
        <w:t xml:space="preserve"> è </w:t>
      </w:r>
      <w:r w:rsidR="00C9357F" w:rsidRPr="00C9357F">
        <w:rPr>
          <w:i/>
          <w:iCs/>
          <w:sz w:val="24"/>
          <w:szCs w:val="24"/>
        </w:rPr>
        <w:t>9.202.226,00</w:t>
      </w:r>
      <w:r w:rsidR="00C9357F">
        <w:rPr>
          <w:i/>
          <w:iCs/>
          <w:sz w:val="24"/>
          <w:szCs w:val="24"/>
        </w:rPr>
        <w:t xml:space="preserve"> </w:t>
      </w:r>
      <w:r>
        <w:rPr>
          <w:i/>
          <w:iCs/>
          <w:sz w:val="24"/>
          <w:szCs w:val="24"/>
        </w:rPr>
        <w:t>euro IVA esclusa.</w:t>
      </w:r>
    </w:p>
    <w:p w14:paraId="30422959" w14:textId="77777777" w:rsidR="00FE4683" w:rsidRPr="00FE4683" w:rsidRDefault="00FE4683" w:rsidP="00FE4683">
      <w:pPr>
        <w:jc w:val="both"/>
        <w:rPr>
          <w:sz w:val="24"/>
          <w:szCs w:val="24"/>
        </w:rPr>
      </w:pPr>
    </w:p>
    <w:p w14:paraId="3ABE5FA8" w14:textId="77777777" w:rsidR="009E05E1" w:rsidRPr="006A7347" w:rsidRDefault="009E05E1" w:rsidP="005906E3">
      <w:pPr>
        <w:jc w:val="both"/>
      </w:pPr>
    </w:p>
    <w:p w14:paraId="54473CE0" w14:textId="5A6DF23E" w:rsidR="00897775" w:rsidRPr="005F5034" w:rsidRDefault="002F7EE0" w:rsidP="005906E3">
      <w:pPr>
        <w:pStyle w:val="Heading2"/>
        <w:jc w:val="both"/>
      </w:pPr>
      <w:bookmarkStart w:id="7" w:name="_Toc161308491"/>
      <w:r w:rsidRPr="00593B70">
        <w:t xml:space="preserve">BREVE </w:t>
      </w:r>
      <w:r w:rsidRPr="00C903BA">
        <w:t>DESCRIZIONE</w:t>
      </w:r>
      <w:r w:rsidRPr="00593B70">
        <w:t xml:space="preserve"> DEI </w:t>
      </w:r>
      <w:r w:rsidRPr="00C903BA">
        <w:t>PRODOTTI</w:t>
      </w:r>
      <w:r w:rsidRPr="00593B70">
        <w:t>/SERVIZI REALIZZATI E COLLAUDATI</w:t>
      </w:r>
      <w:bookmarkEnd w:id="7"/>
    </w:p>
    <w:p w14:paraId="6C2190E1" w14:textId="35FE4881" w:rsidR="00C903BA" w:rsidRPr="00087E49" w:rsidRDefault="00141F7C" w:rsidP="005906E3">
      <w:pPr>
        <w:pStyle w:val="pf0"/>
        <w:jc w:val="both"/>
        <w:rPr>
          <w:i/>
          <w:iCs/>
          <w:lang w:val="it-IT"/>
        </w:rPr>
      </w:pPr>
      <w:r>
        <w:rPr>
          <w:i/>
          <w:iCs/>
          <w:lang w:val="it-IT"/>
        </w:rPr>
        <w:t>N.A.</w:t>
      </w:r>
    </w:p>
    <w:p w14:paraId="2DD83607" w14:textId="77777777" w:rsidR="00BE1065" w:rsidRPr="00C754F5" w:rsidRDefault="00BE1065" w:rsidP="005906E3">
      <w:pPr>
        <w:pStyle w:val="BodyText"/>
        <w:tabs>
          <w:tab w:val="left" w:pos="9072"/>
        </w:tabs>
        <w:spacing w:before="46" w:line="247" w:lineRule="auto"/>
        <w:jc w:val="both"/>
        <w:rPr>
          <w:rFonts w:ascii="Calibri" w:hAnsi="Calibri" w:cs="Calibri"/>
          <w:i/>
          <w:iCs/>
        </w:rPr>
      </w:pPr>
    </w:p>
    <w:p w14:paraId="7C07A6A5" w14:textId="26C33F55" w:rsidR="00C7104C" w:rsidRPr="00C7104C" w:rsidRDefault="002F7EE0" w:rsidP="00C7104C">
      <w:pPr>
        <w:pStyle w:val="Heading2"/>
        <w:jc w:val="both"/>
      </w:pPr>
      <w:bookmarkStart w:id="8" w:name="_Toc161308492"/>
      <w:r w:rsidRPr="00703853">
        <w:t>B</w:t>
      </w:r>
      <w:r w:rsidRPr="004A464B">
        <w:t>REVE DESCRIZIONE ATTIVITÀ DI MONITORAGGIO SVOLTE</w:t>
      </w:r>
      <w:bookmarkEnd w:id="8"/>
    </w:p>
    <w:p w14:paraId="1DE539CA" w14:textId="77777777" w:rsidR="00C7104C" w:rsidRDefault="00C7104C" w:rsidP="00C7104C">
      <w:pPr>
        <w:pStyle w:val="pf0"/>
        <w:jc w:val="both"/>
        <w:rPr>
          <w:i/>
          <w:iCs/>
          <w:lang w:val="it-IT"/>
        </w:rPr>
      </w:pPr>
      <w:r w:rsidRPr="00C7104C">
        <w:rPr>
          <w:i/>
          <w:iCs/>
          <w:lang w:val="it-IT"/>
        </w:rPr>
        <w:t xml:space="preserve">Nel corso del monitoraggio durante l’esecuzione contrattuale non sono stati rilevati né scostamenti economici né scostamenti rispetto ai Livelli di Servizio stabiliti contrattualmente. </w:t>
      </w:r>
    </w:p>
    <w:p w14:paraId="3AF0E81B" w14:textId="4845A942" w:rsidR="00AB3D00" w:rsidRPr="00C7104C" w:rsidRDefault="00C7104C" w:rsidP="00C7104C">
      <w:pPr>
        <w:pStyle w:val="pf0"/>
        <w:jc w:val="both"/>
        <w:rPr>
          <w:i/>
          <w:iCs/>
          <w:lang w:val="it-IT"/>
        </w:rPr>
      </w:pPr>
      <w:r w:rsidRPr="00C7104C">
        <w:rPr>
          <w:i/>
          <w:iCs/>
          <w:lang w:val="it-IT"/>
        </w:rPr>
        <w:t xml:space="preserve">Le attività di monitoraggio svolte nel periodo compreso tra </w:t>
      </w:r>
      <w:r>
        <w:rPr>
          <w:i/>
          <w:iCs/>
          <w:lang w:val="it-IT"/>
        </w:rPr>
        <w:t>ottobre</w:t>
      </w:r>
      <w:r w:rsidRPr="00C7104C">
        <w:rPr>
          <w:i/>
          <w:iCs/>
          <w:lang w:val="it-IT"/>
        </w:rPr>
        <w:t xml:space="preserve"> 2023 e febbraio 2024, condotte dal RUP del contratto, hanno rilevato il rispetto totale delle soglie degli indicatori presenti sulla documentazione contrattuale, i quali assicurano la qualità del servizio fornito in linea con le aspettative (ulteriori dettagli sono visualizzabili nel file Excel allegato presente nel par. 4 Metodologia di analisi).</w:t>
      </w:r>
    </w:p>
    <w:p w14:paraId="57855D9F" w14:textId="77777777" w:rsidR="00C7104C" w:rsidRPr="004A464B" w:rsidRDefault="00C7104C" w:rsidP="005906E3">
      <w:pPr>
        <w:pStyle w:val="Heading2"/>
        <w:numPr>
          <w:ilvl w:val="0"/>
          <w:numId w:val="0"/>
        </w:numPr>
        <w:jc w:val="both"/>
      </w:pPr>
    </w:p>
    <w:p w14:paraId="4C497FA1" w14:textId="32A9D629" w:rsidR="00840253" w:rsidRDefault="002F7EE0" w:rsidP="005906E3">
      <w:pPr>
        <w:pStyle w:val="Heading1"/>
        <w:jc w:val="both"/>
      </w:pPr>
      <w:bookmarkStart w:id="9" w:name="_Toc161308493"/>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9"/>
    </w:p>
    <w:p w14:paraId="3E6AE86D" w14:textId="7D8B7F6C" w:rsidR="005C3279" w:rsidRPr="00087E49" w:rsidRDefault="005C3279" w:rsidP="005906E3">
      <w:pPr>
        <w:pStyle w:val="pf0"/>
        <w:jc w:val="both"/>
        <w:rPr>
          <w:i/>
          <w:iCs/>
          <w:lang w:val="it-IT"/>
        </w:rPr>
      </w:pPr>
      <w:r w:rsidRPr="00087E49">
        <w:rPr>
          <w:i/>
          <w:iCs/>
          <w:lang w:val="it-IT"/>
        </w:rPr>
        <w:t>Questa informazione sarà condivisa nella prima nota utile dopo la conclusione del contratto</w:t>
      </w:r>
      <w:r w:rsidR="00B5555E">
        <w:rPr>
          <w:i/>
          <w:iCs/>
          <w:lang w:val="it-IT"/>
        </w:rPr>
        <w:t>.</w:t>
      </w:r>
      <w:r w:rsidRPr="00087E49">
        <w:rPr>
          <w:i/>
          <w:iCs/>
          <w:lang w:val="it-IT"/>
        </w:rPr>
        <w:t xml:space="preserve"> </w:t>
      </w:r>
    </w:p>
    <w:p w14:paraId="3889A1E9" w14:textId="77777777" w:rsidR="00840253" w:rsidRDefault="00840253" w:rsidP="005906E3">
      <w:pPr>
        <w:jc w:val="both"/>
      </w:pPr>
    </w:p>
    <w:p w14:paraId="37DF9EEA" w14:textId="2420C5B0" w:rsidR="000944A7" w:rsidRPr="001F73A0" w:rsidRDefault="002F7EE0" w:rsidP="005906E3">
      <w:pPr>
        <w:pStyle w:val="Heading1"/>
        <w:jc w:val="both"/>
      </w:pPr>
      <w:bookmarkStart w:id="10" w:name="_Toc161308494"/>
      <w:r w:rsidRPr="00703853">
        <w:t>METODOLOGIA</w:t>
      </w:r>
      <w:r w:rsidRPr="00703853">
        <w:rPr>
          <w:spacing w:val="-5"/>
        </w:rPr>
        <w:t xml:space="preserve"> </w:t>
      </w:r>
      <w:r w:rsidRPr="00703853">
        <w:t>DI</w:t>
      </w:r>
      <w:r w:rsidRPr="00703853">
        <w:rPr>
          <w:spacing w:val="-3"/>
        </w:rPr>
        <w:t xml:space="preserve"> </w:t>
      </w:r>
      <w:r w:rsidRPr="00703853">
        <w:t>ANALISI</w:t>
      </w:r>
      <w:bookmarkEnd w:id="10"/>
    </w:p>
    <w:p w14:paraId="0A17EDB4" w14:textId="43F778F0" w:rsidR="00B56ACB" w:rsidRDefault="00B56ACB" w:rsidP="00694A8F">
      <w:pPr>
        <w:pStyle w:val="BodyText"/>
        <w:spacing w:before="87" w:line="259" w:lineRule="auto"/>
        <w:ind w:hanging="11"/>
        <w:jc w:val="both"/>
        <w:rPr>
          <w:i/>
          <w:iCs/>
        </w:rPr>
      </w:pPr>
      <w:r>
        <w:rPr>
          <w:i/>
          <w:iCs/>
        </w:rPr>
        <w:lastRenderedPageBreak/>
        <w:t>Il contratto in oggett</w:t>
      </w:r>
      <w:r w:rsidR="00694A8F">
        <w:rPr>
          <w:i/>
          <w:iCs/>
        </w:rPr>
        <w:t xml:space="preserve">o </w:t>
      </w:r>
      <w:r>
        <w:rPr>
          <w:i/>
          <w:iCs/>
        </w:rPr>
        <w:t xml:space="preserve">risulta </w:t>
      </w:r>
      <w:r w:rsidR="00694A8F">
        <w:rPr>
          <w:i/>
          <w:iCs/>
        </w:rPr>
        <w:t xml:space="preserve">essere strumentale </w:t>
      </w:r>
      <w:r w:rsidR="00694A8F" w:rsidRPr="00694A8F">
        <w:rPr>
          <w:i/>
          <w:iCs/>
        </w:rPr>
        <w:t>a garantire il completamento, potenziamento e messa a disposizione delle infrastrutture</w:t>
      </w:r>
      <w:r w:rsidR="00694A8F">
        <w:rPr>
          <w:i/>
          <w:iCs/>
        </w:rPr>
        <w:t xml:space="preserve"> </w:t>
      </w:r>
      <w:r w:rsidR="00694A8F" w:rsidRPr="00694A8F">
        <w:rPr>
          <w:i/>
          <w:iCs/>
        </w:rPr>
        <w:t>immateriali</w:t>
      </w:r>
      <w:r w:rsidR="00694A8F">
        <w:rPr>
          <w:i/>
          <w:iCs/>
        </w:rPr>
        <w:t>.</w:t>
      </w:r>
      <w:r w:rsidR="00694A8F" w:rsidRPr="00694A8F">
        <w:rPr>
          <w:i/>
          <w:iCs/>
        </w:rPr>
        <w:t xml:space="preserve"> </w:t>
      </w:r>
    </w:p>
    <w:p w14:paraId="5306CF75" w14:textId="07E76CDA" w:rsidR="00B56ACB" w:rsidRDefault="00B56ACB" w:rsidP="005906E3">
      <w:pPr>
        <w:pStyle w:val="BodyText"/>
        <w:spacing w:before="87" w:line="259" w:lineRule="auto"/>
        <w:ind w:hanging="11"/>
        <w:jc w:val="both"/>
        <w:rPr>
          <w:i/>
          <w:iCs/>
        </w:rPr>
      </w:pPr>
      <w:r>
        <w:rPr>
          <w:i/>
          <w:iCs/>
        </w:rPr>
        <w:t>I principali obiettivi che l’</w:t>
      </w:r>
      <w:r w:rsidR="0058732D">
        <w:rPr>
          <w:i/>
          <w:iCs/>
        </w:rPr>
        <w:t>A</w:t>
      </w:r>
      <w:r>
        <w:rPr>
          <w:i/>
          <w:iCs/>
        </w:rPr>
        <w:t>mministrazione sì è posta di realizzare, mediante i servizi erogati da contratto, nell’ambito di tale progetto sono:</w:t>
      </w:r>
    </w:p>
    <w:p w14:paraId="4549EBAD" w14:textId="5EEF96B0" w:rsidR="00694A8F" w:rsidRDefault="00694A8F" w:rsidP="00694A8F">
      <w:pPr>
        <w:pStyle w:val="BodyText"/>
        <w:numPr>
          <w:ilvl w:val="0"/>
          <w:numId w:val="14"/>
        </w:numPr>
        <w:spacing w:before="87" w:line="259" w:lineRule="auto"/>
        <w:jc w:val="both"/>
        <w:rPr>
          <w:i/>
          <w:iCs/>
        </w:rPr>
      </w:pPr>
      <w:r w:rsidRPr="00694A8F">
        <w:rPr>
          <w:i/>
          <w:iCs/>
        </w:rPr>
        <w:t>Stato giuridico del personale e fascicolo del dipendente</w:t>
      </w:r>
    </w:p>
    <w:p w14:paraId="2874C199" w14:textId="4C726FDF" w:rsidR="00694A8F" w:rsidRDefault="00694A8F" w:rsidP="00694A8F">
      <w:pPr>
        <w:pStyle w:val="BodyText"/>
        <w:numPr>
          <w:ilvl w:val="0"/>
          <w:numId w:val="14"/>
        </w:numPr>
        <w:spacing w:before="87" w:line="259" w:lineRule="auto"/>
        <w:jc w:val="both"/>
        <w:rPr>
          <w:i/>
          <w:iCs/>
        </w:rPr>
      </w:pPr>
      <w:r w:rsidRPr="00694A8F">
        <w:rPr>
          <w:i/>
          <w:iCs/>
        </w:rPr>
        <w:t>Gestione concorsi e interpelli</w:t>
      </w:r>
    </w:p>
    <w:p w14:paraId="5D3AA15D" w14:textId="15DF2CFA" w:rsidR="00694A8F" w:rsidRDefault="00694A8F" w:rsidP="00694A8F">
      <w:pPr>
        <w:pStyle w:val="BodyText"/>
        <w:numPr>
          <w:ilvl w:val="0"/>
          <w:numId w:val="14"/>
        </w:numPr>
        <w:spacing w:before="87" w:line="259" w:lineRule="auto"/>
        <w:jc w:val="both"/>
        <w:rPr>
          <w:i/>
          <w:iCs/>
        </w:rPr>
      </w:pPr>
      <w:r w:rsidRPr="00694A8F">
        <w:rPr>
          <w:i/>
          <w:iCs/>
        </w:rPr>
        <w:t>Smart Building per le varie articolazioni del Minister</w:t>
      </w:r>
      <w:r>
        <w:rPr>
          <w:i/>
          <w:iCs/>
        </w:rPr>
        <w:t>o</w:t>
      </w:r>
    </w:p>
    <w:p w14:paraId="2DCD276C" w14:textId="46E1F6C7" w:rsidR="00694A8F" w:rsidRDefault="00694A8F" w:rsidP="00694A8F">
      <w:pPr>
        <w:pStyle w:val="BodyText"/>
        <w:numPr>
          <w:ilvl w:val="0"/>
          <w:numId w:val="14"/>
        </w:numPr>
        <w:spacing w:before="87" w:line="259" w:lineRule="auto"/>
        <w:jc w:val="both"/>
        <w:rPr>
          <w:i/>
          <w:iCs/>
        </w:rPr>
      </w:pPr>
      <w:r w:rsidRPr="00694A8F">
        <w:rPr>
          <w:i/>
          <w:iCs/>
        </w:rPr>
        <w:t>Gestione del personale afferente al corpo di polizia penitenziaria</w:t>
      </w:r>
    </w:p>
    <w:p w14:paraId="65C51A77" w14:textId="572EF359" w:rsidR="00694A8F" w:rsidRDefault="00694A8F" w:rsidP="00694A8F">
      <w:pPr>
        <w:pStyle w:val="BodyText"/>
        <w:numPr>
          <w:ilvl w:val="0"/>
          <w:numId w:val="14"/>
        </w:numPr>
        <w:spacing w:before="87" w:line="259" w:lineRule="auto"/>
        <w:jc w:val="both"/>
        <w:rPr>
          <w:i/>
          <w:iCs/>
          <w:lang w:val="en-US"/>
        </w:rPr>
      </w:pPr>
      <w:r w:rsidRPr="00694A8F">
        <w:rPr>
          <w:i/>
          <w:iCs/>
          <w:lang w:val="en-US"/>
        </w:rPr>
        <w:t>Time Material Management System (TMMG</w:t>
      </w:r>
      <w:r>
        <w:rPr>
          <w:i/>
          <w:iCs/>
          <w:lang w:val="en-US"/>
        </w:rPr>
        <w:t>)</w:t>
      </w:r>
    </w:p>
    <w:p w14:paraId="3F3A8A21" w14:textId="0020EBB0" w:rsidR="00694A8F" w:rsidRDefault="00694A8F" w:rsidP="00694A8F">
      <w:pPr>
        <w:pStyle w:val="BodyText"/>
        <w:numPr>
          <w:ilvl w:val="0"/>
          <w:numId w:val="14"/>
        </w:numPr>
        <w:spacing w:before="87" w:line="259" w:lineRule="auto"/>
        <w:jc w:val="both"/>
        <w:rPr>
          <w:i/>
          <w:iCs/>
          <w:lang w:val="en-US"/>
        </w:rPr>
      </w:pPr>
      <w:proofErr w:type="spellStart"/>
      <w:r w:rsidRPr="00694A8F">
        <w:rPr>
          <w:i/>
          <w:iCs/>
          <w:lang w:val="en-US"/>
        </w:rPr>
        <w:t>Piattaforma</w:t>
      </w:r>
      <w:proofErr w:type="spellEnd"/>
      <w:r w:rsidRPr="00694A8F">
        <w:rPr>
          <w:i/>
          <w:iCs/>
          <w:lang w:val="en-US"/>
        </w:rPr>
        <w:t xml:space="preserve"> </w:t>
      </w:r>
      <w:proofErr w:type="spellStart"/>
      <w:r w:rsidRPr="00694A8F">
        <w:rPr>
          <w:i/>
          <w:iCs/>
          <w:lang w:val="en-US"/>
        </w:rPr>
        <w:t>interventi</w:t>
      </w:r>
      <w:proofErr w:type="spellEnd"/>
      <w:r w:rsidRPr="00694A8F">
        <w:rPr>
          <w:i/>
          <w:iCs/>
          <w:lang w:val="en-US"/>
        </w:rPr>
        <w:t xml:space="preserve"> </w:t>
      </w:r>
      <w:proofErr w:type="spellStart"/>
      <w:r w:rsidRPr="00694A8F">
        <w:rPr>
          <w:i/>
          <w:iCs/>
          <w:lang w:val="en-US"/>
        </w:rPr>
        <w:t>formativ</w:t>
      </w:r>
      <w:r>
        <w:rPr>
          <w:i/>
          <w:iCs/>
          <w:lang w:val="en-US"/>
        </w:rPr>
        <w:t>i</w:t>
      </w:r>
      <w:proofErr w:type="spellEnd"/>
    </w:p>
    <w:p w14:paraId="09FE6C6C" w14:textId="69679086" w:rsidR="00694A8F" w:rsidRDefault="00694A8F" w:rsidP="00694A8F">
      <w:pPr>
        <w:pStyle w:val="BodyText"/>
        <w:numPr>
          <w:ilvl w:val="0"/>
          <w:numId w:val="14"/>
        </w:numPr>
        <w:spacing w:before="87" w:line="259" w:lineRule="auto"/>
        <w:jc w:val="both"/>
        <w:rPr>
          <w:i/>
          <w:iCs/>
          <w:lang w:val="en-US"/>
        </w:rPr>
      </w:pPr>
      <w:r w:rsidRPr="00694A8F">
        <w:rPr>
          <w:i/>
          <w:iCs/>
          <w:lang w:val="en-US"/>
        </w:rPr>
        <w:t xml:space="preserve">Performance </w:t>
      </w:r>
      <w:proofErr w:type="spellStart"/>
      <w:r w:rsidRPr="00694A8F">
        <w:rPr>
          <w:i/>
          <w:iCs/>
          <w:lang w:val="en-US"/>
        </w:rPr>
        <w:t>degli</w:t>
      </w:r>
      <w:proofErr w:type="spellEnd"/>
      <w:r w:rsidRPr="00694A8F">
        <w:rPr>
          <w:i/>
          <w:iCs/>
          <w:lang w:val="en-US"/>
        </w:rPr>
        <w:t xml:space="preserve"> </w:t>
      </w:r>
      <w:proofErr w:type="spellStart"/>
      <w:r w:rsidRPr="00694A8F">
        <w:rPr>
          <w:i/>
          <w:iCs/>
          <w:lang w:val="en-US"/>
        </w:rPr>
        <w:t>Uffici</w:t>
      </w:r>
      <w:proofErr w:type="spellEnd"/>
    </w:p>
    <w:p w14:paraId="45204650" w14:textId="2B384224" w:rsidR="00694A8F" w:rsidRDefault="00694A8F" w:rsidP="00694A8F">
      <w:pPr>
        <w:pStyle w:val="BodyText"/>
        <w:numPr>
          <w:ilvl w:val="0"/>
          <w:numId w:val="14"/>
        </w:numPr>
        <w:spacing w:before="87" w:line="259" w:lineRule="auto"/>
        <w:jc w:val="both"/>
        <w:rPr>
          <w:i/>
          <w:iCs/>
        </w:rPr>
      </w:pPr>
      <w:r w:rsidRPr="00694A8F">
        <w:rPr>
          <w:i/>
          <w:iCs/>
        </w:rPr>
        <w:t>Monitoraggio delle assunzioni attraverso PNRR</w:t>
      </w:r>
    </w:p>
    <w:p w14:paraId="284E3433" w14:textId="584B4451" w:rsidR="00694A8F" w:rsidRDefault="00694A8F" w:rsidP="00694A8F">
      <w:pPr>
        <w:pStyle w:val="BodyText"/>
        <w:numPr>
          <w:ilvl w:val="0"/>
          <w:numId w:val="14"/>
        </w:numPr>
        <w:spacing w:before="87" w:line="259" w:lineRule="auto"/>
        <w:jc w:val="both"/>
        <w:rPr>
          <w:i/>
          <w:iCs/>
        </w:rPr>
      </w:pPr>
      <w:r w:rsidRPr="00694A8F">
        <w:rPr>
          <w:i/>
          <w:iCs/>
        </w:rPr>
        <w:t>Procedimenti disciplinari della Magistratura</w:t>
      </w:r>
    </w:p>
    <w:p w14:paraId="5A88AEDE" w14:textId="48A95383" w:rsidR="00981488" w:rsidRDefault="00981488" w:rsidP="00981488">
      <w:pPr>
        <w:pStyle w:val="BodyText"/>
        <w:spacing w:before="87" w:line="259" w:lineRule="auto"/>
        <w:jc w:val="both"/>
        <w:rPr>
          <w:i/>
          <w:iCs/>
        </w:rPr>
      </w:pPr>
    </w:p>
    <w:p w14:paraId="5A6F0CD9" w14:textId="5F752662" w:rsidR="00856D81" w:rsidRPr="00694A8F" w:rsidRDefault="00981488" w:rsidP="00981488">
      <w:pPr>
        <w:pStyle w:val="BodyText"/>
        <w:spacing w:before="87" w:after="240" w:line="259" w:lineRule="auto"/>
        <w:ind w:hanging="11"/>
        <w:jc w:val="both"/>
        <w:rPr>
          <w:i/>
          <w:iCs/>
        </w:rPr>
      </w:pPr>
      <w:r>
        <w:rPr>
          <w:i/>
          <w:iCs/>
        </w:rPr>
        <w:t>I principali indicatori utilizzati per il monitoraggio e l’analisi dell’andamento del contratto sono riportati seguito.</w:t>
      </w:r>
    </w:p>
    <w:tbl>
      <w:tblPr>
        <w:tblStyle w:val="TableGrid"/>
        <w:tblW w:w="0" w:type="auto"/>
        <w:tblLook w:val="04A0" w:firstRow="1" w:lastRow="0" w:firstColumn="1" w:lastColumn="0" w:noHBand="0" w:noVBand="1"/>
      </w:tblPr>
      <w:tblGrid>
        <w:gridCol w:w="2689"/>
        <w:gridCol w:w="6694"/>
      </w:tblGrid>
      <w:tr w:rsidR="00BC2E86" w14:paraId="563E7133" w14:textId="71087D03" w:rsidTr="00087E49">
        <w:tc>
          <w:tcPr>
            <w:tcW w:w="2689" w:type="dxa"/>
            <w:shd w:val="clear" w:color="auto" w:fill="C6D9F1" w:themeFill="text2" w:themeFillTint="33"/>
          </w:tcPr>
          <w:p w14:paraId="1114639E" w14:textId="3447F55F" w:rsidR="00BC2E86" w:rsidRPr="00087E49" w:rsidRDefault="00BC2E86" w:rsidP="005906E3">
            <w:pPr>
              <w:pStyle w:val="BodyText"/>
              <w:spacing w:before="87" w:line="259" w:lineRule="auto"/>
              <w:jc w:val="both"/>
              <w:rPr>
                <w:b/>
                <w:bCs/>
                <w:i/>
                <w:iCs/>
              </w:rPr>
            </w:pPr>
            <w:r w:rsidRPr="00087E49">
              <w:rPr>
                <w:b/>
                <w:bCs/>
                <w:i/>
                <w:iCs/>
              </w:rPr>
              <w:t>Servizio Monitorato</w:t>
            </w:r>
          </w:p>
        </w:tc>
        <w:tc>
          <w:tcPr>
            <w:tcW w:w="6694" w:type="dxa"/>
            <w:shd w:val="clear" w:color="auto" w:fill="C6D9F1" w:themeFill="text2" w:themeFillTint="33"/>
          </w:tcPr>
          <w:p w14:paraId="6DB0D492" w14:textId="5B5141B4" w:rsidR="00BC2E86" w:rsidRPr="00087E49" w:rsidRDefault="00632AEE" w:rsidP="005906E3">
            <w:pPr>
              <w:pStyle w:val="BodyText"/>
              <w:spacing w:before="87" w:line="259" w:lineRule="auto"/>
              <w:jc w:val="both"/>
              <w:rPr>
                <w:b/>
                <w:bCs/>
                <w:i/>
                <w:iCs/>
              </w:rPr>
            </w:pPr>
            <w:r w:rsidRPr="00632AEE">
              <w:rPr>
                <w:b/>
                <w:bCs/>
                <w:i/>
                <w:iCs/>
              </w:rPr>
              <w:t>Descrizione Indicatore</w:t>
            </w:r>
          </w:p>
        </w:tc>
      </w:tr>
      <w:tr w:rsidR="00C85AB6" w14:paraId="44CB89C4" w14:textId="77777777" w:rsidTr="0058732D">
        <w:tc>
          <w:tcPr>
            <w:tcW w:w="2689" w:type="dxa"/>
            <w:vAlign w:val="center"/>
          </w:tcPr>
          <w:p w14:paraId="75157ECD" w14:textId="1DF681C9" w:rsidR="00C85AB6" w:rsidRDefault="00C85AB6" w:rsidP="0058732D">
            <w:pPr>
              <w:pStyle w:val="BodyText"/>
              <w:spacing w:before="87" w:line="259" w:lineRule="auto"/>
              <w:rPr>
                <w:i/>
                <w:iCs/>
              </w:rPr>
            </w:pPr>
            <w:r>
              <w:rPr>
                <w:i/>
                <w:iCs/>
              </w:rPr>
              <w:t>Governo della fornitura</w:t>
            </w:r>
          </w:p>
        </w:tc>
        <w:tc>
          <w:tcPr>
            <w:tcW w:w="6694" w:type="dxa"/>
          </w:tcPr>
          <w:p w14:paraId="15F1B29F" w14:textId="77777777" w:rsidR="00C85AB6" w:rsidRDefault="00C85AB6" w:rsidP="00C85AB6">
            <w:pPr>
              <w:pStyle w:val="BodyText"/>
              <w:numPr>
                <w:ilvl w:val="0"/>
                <w:numId w:val="15"/>
              </w:numPr>
              <w:spacing w:before="87" w:line="259" w:lineRule="auto"/>
              <w:jc w:val="both"/>
              <w:rPr>
                <w:i/>
                <w:iCs/>
              </w:rPr>
            </w:pPr>
            <w:r w:rsidRPr="00C85AB6">
              <w:rPr>
                <w:i/>
                <w:iCs/>
              </w:rPr>
              <w:t>PFI – Personale inadeguato</w:t>
            </w:r>
          </w:p>
          <w:p w14:paraId="0752FC80" w14:textId="77777777" w:rsidR="00C85AB6" w:rsidRDefault="00C85AB6" w:rsidP="00C85AB6">
            <w:pPr>
              <w:pStyle w:val="BodyText"/>
              <w:numPr>
                <w:ilvl w:val="0"/>
                <w:numId w:val="15"/>
              </w:numPr>
              <w:spacing w:before="87" w:line="259" w:lineRule="auto"/>
              <w:jc w:val="both"/>
              <w:rPr>
                <w:i/>
                <w:iCs/>
              </w:rPr>
            </w:pPr>
            <w:r w:rsidRPr="00C85AB6">
              <w:rPr>
                <w:i/>
                <w:iCs/>
              </w:rPr>
              <w:t>TIP – Tempestività nell’inserimento di personale</w:t>
            </w:r>
          </w:p>
          <w:p w14:paraId="445AA9CF" w14:textId="77777777" w:rsidR="00C85AB6" w:rsidRDefault="00C85AB6" w:rsidP="00C85AB6">
            <w:pPr>
              <w:pStyle w:val="BodyText"/>
              <w:numPr>
                <w:ilvl w:val="0"/>
                <w:numId w:val="15"/>
              </w:numPr>
              <w:spacing w:before="87" w:line="259" w:lineRule="auto"/>
              <w:jc w:val="both"/>
              <w:rPr>
                <w:i/>
                <w:iCs/>
              </w:rPr>
            </w:pPr>
            <w:r w:rsidRPr="00C85AB6">
              <w:rPr>
                <w:i/>
                <w:iCs/>
              </w:rPr>
              <w:t>RSCT – Rispetto di una scadenza contrattuale</w:t>
            </w:r>
          </w:p>
          <w:p w14:paraId="45A7A4C7" w14:textId="77777777" w:rsidR="00C85AB6" w:rsidRDefault="00C85AB6" w:rsidP="00C85AB6">
            <w:pPr>
              <w:pStyle w:val="BodyText"/>
              <w:numPr>
                <w:ilvl w:val="0"/>
                <w:numId w:val="15"/>
              </w:numPr>
              <w:spacing w:before="87" w:line="259" w:lineRule="auto"/>
              <w:jc w:val="both"/>
              <w:rPr>
                <w:i/>
                <w:iCs/>
              </w:rPr>
            </w:pPr>
            <w:r w:rsidRPr="00C85AB6">
              <w:rPr>
                <w:i/>
                <w:iCs/>
              </w:rPr>
              <w:t>VQF – Valutazione Qualità della Fornitura</w:t>
            </w:r>
          </w:p>
          <w:p w14:paraId="1E1BCF1A" w14:textId="77777777" w:rsidR="00C85AB6" w:rsidRDefault="00C85AB6" w:rsidP="00C85AB6">
            <w:pPr>
              <w:pStyle w:val="BodyText"/>
              <w:numPr>
                <w:ilvl w:val="0"/>
                <w:numId w:val="15"/>
              </w:numPr>
              <w:spacing w:before="87" w:line="259" w:lineRule="auto"/>
              <w:jc w:val="both"/>
              <w:rPr>
                <w:i/>
                <w:iCs/>
              </w:rPr>
            </w:pPr>
            <w:r w:rsidRPr="00C85AB6">
              <w:rPr>
                <w:i/>
                <w:iCs/>
              </w:rPr>
              <w:t>RLFN – Rilievi sulla fornitura</w:t>
            </w:r>
          </w:p>
          <w:p w14:paraId="228F92BD" w14:textId="77777777" w:rsidR="00C85AB6" w:rsidRDefault="00C85AB6" w:rsidP="00C85AB6">
            <w:pPr>
              <w:pStyle w:val="BodyText"/>
              <w:numPr>
                <w:ilvl w:val="0"/>
                <w:numId w:val="15"/>
              </w:numPr>
              <w:spacing w:before="87" w:line="259" w:lineRule="auto"/>
              <w:jc w:val="both"/>
              <w:rPr>
                <w:i/>
                <w:iCs/>
              </w:rPr>
            </w:pPr>
            <w:r w:rsidRPr="00C85AB6">
              <w:rPr>
                <w:i/>
                <w:iCs/>
              </w:rPr>
              <w:t>MIDG – Monitoraggio indicatori di digitalizzazione</w:t>
            </w:r>
          </w:p>
          <w:p w14:paraId="54AE7BAD" w14:textId="114A76ED" w:rsidR="00C85AB6" w:rsidRPr="00C85AB6" w:rsidRDefault="00C85AB6" w:rsidP="00C85AB6">
            <w:pPr>
              <w:pStyle w:val="BodyText"/>
              <w:numPr>
                <w:ilvl w:val="0"/>
                <w:numId w:val="15"/>
              </w:numPr>
              <w:spacing w:before="87" w:line="259" w:lineRule="auto"/>
              <w:jc w:val="both"/>
              <w:rPr>
                <w:i/>
                <w:iCs/>
              </w:rPr>
            </w:pPr>
            <w:r w:rsidRPr="00C85AB6">
              <w:rPr>
                <w:i/>
                <w:iCs/>
              </w:rPr>
              <w:t>TAI – Tempo di Attivazione degli Interventi</w:t>
            </w:r>
          </w:p>
        </w:tc>
      </w:tr>
      <w:tr w:rsidR="00103060" w14:paraId="7D4FBB34" w14:textId="77777777" w:rsidTr="0058732D">
        <w:tc>
          <w:tcPr>
            <w:tcW w:w="2689" w:type="dxa"/>
            <w:vAlign w:val="center"/>
          </w:tcPr>
          <w:p w14:paraId="66ADE49D" w14:textId="32B93F1B" w:rsidR="00C85AB6" w:rsidRPr="002D354A" w:rsidRDefault="00C85AB6" w:rsidP="0058732D">
            <w:pPr>
              <w:pStyle w:val="BodyText"/>
              <w:spacing w:before="87" w:line="259" w:lineRule="auto"/>
              <w:rPr>
                <w:i/>
                <w:iCs/>
              </w:rPr>
            </w:pPr>
            <w:r>
              <w:rPr>
                <w:i/>
                <w:iCs/>
              </w:rPr>
              <w:t>Servizi realizzativi</w:t>
            </w:r>
          </w:p>
        </w:tc>
        <w:tc>
          <w:tcPr>
            <w:tcW w:w="6694" w:type="dxa"/>
          </w:tcPr>
          <w:p w14:paraId="32D637D8" w14:textId="77777777" w:rsidR="0058732D" w:rsidRDefault="00C85AB6" w:rsidP="00C85AB6">
            <w:pPr>
              <w:pStyle w:val="BodyText"/>
              <w:numPr>
                <w:ilvl w:val="0"/>
                <w:numId w:val="15"/>
              </w:numPr>
              <w:spacing w:before="87" w:line="259" w:lineRule="auto"/>
              <w:jc w:val="both"/>
              <w:rPr>
                <w:i/>
                <w:iCs/>
              </w:rPr>
            </w:pPr>
            <w:r w:rsidRPr="00C85AB6">
              <w:rPr>
                <w:i/>
                <w:iCs/>
              </w:rPr>
              <w:t>RSPL – Rispetto del Piano di lavoro di obiettivo</w:t>
            </w:r>
          </w:p>
          <w:p w14:paraId="32D488DD" w14:textId="77777777" w:rsidR="00C85AB6" w:rsidRDefault="00C85AB6" w:rsidP="00C85AB6">
            <w:pPr>
              <w:pStyle w:val="BodyText"/>
              <w:numPr>
                <w:ilvl w:val="0"/>
                <w:numId w:val="15"/>
              </w:numPr>
              <w:spacing w:before="87" w:line="259" w:lineRule="auto"/>
              <w:jc w:val="both"/>
              <w:rPr>
                <w:i/>
                <w:iCs/>
              </w:rPr>
            </w:pPr>
            <w:r w:rsidRPr="00C85AB6">
              <w:rPr>
                <w:i/>
                <w:iCs/>
              </w:rPr>
              <w:t>GSCO – Giorni di sospensione del collaudo</w:t>
            </w:r>
          </w:p>
          <w:p w14:paraId="3578314E" w14:textId="77777777" w:rsidR="00C85AB6" w:rsidRDefault="00C85AB6" w:rsidP="00C85AB6">
            <w:pPr>
              <w:pStyle w:val="BodyText"/>
              <w:numPr>
                <w:ilvl w:val="0"/>
                <w:numId w:val="15"/>
              </w:numPr>
              <w:spacing w:before="87" w:line="259" w:lineRule="auto"/>
              <w:jc w:val="both"/>
              <w:rPr>
                <w:i/>
                <w:iCs/>
              </w:rPr>
            </w:pPr>
            <w:r w:rsidRPr="00C85AB6">
              <w:rPr>
                <w:i/>
                <w:iCs/>
              </w:rPr>
              <w:t>DAES – Difettosità in avvio in esercizio</w:t>
            </w:r>
          </w:p>
          <w:p w14:paraId="42F5BA3A" w14:textId="77777777" w:rsidR="00C85AB6" w:rsidRDefault="00C85AB6" w:rsidP="00C85AB6">
            <w:pPr>
              <w:pStyle w:val="BodyText"/>
              <w:numPr>
                <w:ilvl w:val="0"/>
                <w:numId w:val="15"/>
              </w:numPr>
              <w:spacing w:before="87" w:line="259" w:lineRule="auto"/>
              <w:jc w:val="both"/>
              <w:rPr>
                <w:i/>
                <w:iCs/>
              </w:rPr>
            </w:pPr>
            <w:r w:rsidRPr="00C85AB6">
              <w:rPr>
                <w:i/>
                <w:iCs/>
              </w:rPr>
              <w:t>CTFU – Copertura test funzionali</w:t>
            </w:r>
          </w:p>
          <w:p w14:paraId="3B3A8EC1" w14:textId="77777777" w:rsidR="00C85AB6" w:rsidRDefault="00C85AB6" w:rsidP="00C85AB6">
            <w:pPr>
              <w:pStyle w:val="BodyText"/>
              <w:numPr>
                <w:ilvl w:val="0"/>
                <w:numId w:val="15"/>
              </w:numPr>
              <w:spacing w:before="87" w:line="259" w:lineRule="auto"/>
              <w:jc w:val="both"/>
              <w:rPr>
                <w:i/>
                <w:iCs/>
              </w:rPr>
            </w:pPr>
            <w:r w:rsidRPr="00C85AB6">
              <w:rPr>
                <w:i/>
                <w:iCs/>
              </w:rPr>
              <w:t>RIUSO – Riuso di componenti</w:t>
            </w:r>
          </w:p>
          <w:p w14:paraId="38A43EE3" w14:textId="77777777" w:rsidR="00C85AB6" w:rsidRDefault="00C85AB6" w:rsidP="00C85AB6">
            <w:pPr>
              <w:pStyle w:val="BodyText"/>
              <w:numPr>
                <w:ilvl w:val="0"/>
                <w:numId w:val="15"/>
              </w:numPr>
              <w:spacing w:before="87" w:line="259" w:lineRule="auto"/>
              <w:jc w:val="both"/>
              <w:rPr>
                <w:i/>
                <w:iCs/>
              </w:rPr>
            </w:pPr>
            <w:r w:rsidRPr="00C85AB6">
              <w:rPr>
                <w:i/>
                <w:iCs/>
              </w:rPr>
              <w:t>TRCG – Tempestività di Ripristino dell’Operatività in collaudo ed in garanzia</w:t>
            </w:r>
          </w:p>
          <w:p w14:paraId="284DD964" w14:textId="77777777" w:rsidR="00C85AB6" w:rsidRDefault="00C85AB6" w:rsidP="00C85AB6">
            <w:pPr>
              <w:pStyle w:val="BodyText"/>
              <w:numPr>
                <w:ilvl w:val="0"/>
                <w:numId w:val="15"/>
              </w:numPr>
              <w:spacing w:before="87" w:line="259" w:lineRule="auto"/>
              <w:jc w:val="both"/>
              <w:rPr>
                <w:i/>
                <w:iCs/>
              </w:rPr>
            </w:pPr>
            <w:r w:rsidRPr="00C85AB6">
              <w:rPr>
                <w:i/>
                <w:iCs/>
              </w:rPr>
              <w:t>TROR – Totale Rilievi Obiettivo Realizzativo</w:t>
            </w:r>
          </w:p>
          <w:p w14:paraId="3F440C49" w14:textId="20C5FB16" w:rsidR="00C85AB6" w:rsidRDefault="00C85AB6" w:rsidP="00C85AB6">
            <w:pPr>
              <w:pStyle w:val="BodyText"/>
              <w:numPr>
                <w:ilvl w:val="0"/>
                <w:numId w:val="15"/>
              </w:numPr>
              <w:spacing w:before="87" w:line="259" w:lineRule="auto"/>
              <w:jc w:val="both"/>
              <w:rPr>
                <w:i/>
                <w:iCs/>
              </w:rPr>
            </w:pPr>
            <w:r w:rsidRPr="00C85AB6">
              <w:rPr>
                <w:i/>
                <w:iCs/>
              </w:rPr>
              <w:t>DFCC – D</w:t>
            </w:r>
            <w:r>
              <w:rPr>
                <w:i/>
                <w:iCs/>
              </w:rPr>
              <w:t>ifettosità in collaudo</w:t>
            </w:r>
          </w:p>
          <w:p w14:paraId="3C58B165" w14:textId="77777777" w:rsidR="00C85AB6" w:rsidRDefault="00C85AB6" w:rsidP="00C85AB6">
            <w:pPr>
              <w:pStyle w:val="BodyText"/>
              <w:numPr>
                <w:ilvl w:val="0"/>
                <w:numId w:val="15"/>
              </w:numPr>
              <w:spacing w:before="87" w:line="259" w:lineRule="auto"/>
              <w:jc w:val="both"/>
              <w:rPr>
                <w:i/>
                <w:iCs/>
              </w:rPr>
            </w:pPr>
            <w:r w:rsidRPr="00C85AB6">
              <w:rPr>
                <w:i/>
                <w:iCs/>
              </w:rPr>
              <w:t>TRPM – T</w:t>
            </w:r>
            <w:r>
              <w:rPr>
                <w:i/>
                <w:iCs/>
              </w:rPr>
              <w:t>empo di risposta post</w:t>
            </w:r>
            <w:r w:rsidRPr="00C85AB6">
              <w:rPr>
                <w:i/>
                <w:iCs/>
              </w:rPr>
              <w:t>-</w:t>
            </w:r>
            <w:r>
              <w:rPr>
                <w:i/>
                <w:iCs/>
              </w:rPr>
              <w:t>migrazione</w:t>
            </w:r>
          </w:p>
          <w:p w14:paraId="38284E47" w14:textId="5C904774" w:rsidR="00C85AB6" w:rsidRPr="00C85AB6" w:rsidRDefault="00C85AB6" w:rsidP="00C85AB6">
            <w:pPr>
              <w:pStyle w:val="BodyText"/>
              <w:numPr>
                <w:ilvl w:val="0"/>
                <w:numId w:val="15"/>
              </w:numPr>
              <w:spacing w:before="87" w:line="259" w:lineRule="auto"/>
              <w:jc w:val="both"/>
              <w:rPr>
                <w:i/>
                <w:iCs/>
              </w:rPr>
            </w:pPr>
            <w:r w:rsidRPr="00C85AB6">
              <w:rPr>
                <w:i/>
                <w:iCs/>
              </w:rPr>
              <w:t>QNFU – Q</w:t>
            </w:r>
            <w:r>
              <w:rPr>
                <w:i/>
                <w:iCs/>
              </w:rPr>
              <w:t>ualità non funzionale</w:t>
            </w:r>
          </w:p>
        </w:tc>
      </w:tr>
      <w:tr w:rsidR="00103060" w14:paraId="1CBFBACC" w14:textId="08CF845B" w:rsidTr="00C85AB6">
        <w:tc>
          <w:tcPr>
            <w:tcW w:w="2689" w:type="dxa"/>
            <w:vAlign w:val="center"/>
          </w:tcPr>
          <w:p w14:paraId="34899256" w14:textId="37452AEE" w:rsidR="00C85AB6" w:rsidRDefault="00C85AB6" w:rsidP="00C85AB6">
            <w:pPr>
              <w:pStyle w:val="BodyText"/>
              <w:spacing w:before="87" w:line="259" w:lineRule="auto"/>
              <w:rPr>
                <w:i/>
                <w:iCs/>
              </w:rPr>
            </w:pPr>
            <w:r>
              <w:rPr>
                <w:i/>
                <w:iCs/>
              </w:rPr>
              <w:t>Servizi di manutenzione</w:t>
            </w:r>
          </w:p>
        </w:tc>
        <w:tc>
          <w:tcPr>
            <w:tcW w:w="6694" w:type="dxa"/>
          </w:tcPr>
          <w:p w14:paraId="20DCB6EA" w14:textId="77777777" w:rsidR="00682DD3" w:rsidRDefault="00C85AB6" w:rsidP="00C85AB6">
            <w:pPr>
              <w:pStyle w:val="BodyText"/>
              <w:numPr>
                <w:ilvl w:val="0"/>
                <w:numId w:val="19"/>
              </w:numPr>
              <w:spacing w:before="87" w:line="259" w:lineRule="auto"/>
              <w:jc w:val="both"/>
              <w:rPr>
                <w:i/>
                <w:iCs/>
              </w:rPr>
            </w:pPr>
            <w:r w:rsidRPr="00C85AB6">
              <w:rPr>
                <w:i/>
                <w:iCs/>
              </w:rPr>
              <w:t xml:space="preserve">TROI – Tempestività di Ripristino dell’Operatività in </w:t>
            </w:r>
            <w:r w:rsidRPr="00C85AB6">
              <w:rPr>
                <w:i/>
                <w:iCs/>
              </w:rPr>
              <w:lastRenderedPageBreak/>
              <w:t>esercizio</w:t>
            </w:r>
          </w:p>
          <w:p w14:paraId="7DD8FDC2" w14:textId="77777777" w:rsidR="00C85AB6" w:rsidRDefault="00C85AB6" w:rsidP="00C85AB6">
            <w:pPr>
              <w:pStyle w:val="BodyText"/>
              <w:numPr>
                <w:ilvl w:val="0"/>
                <w:numId w:val="19"/>
              </w:numPr>
              <w:spacing w:before="87" w:line="259" w:lineRule="auto"/>
              <w:jc w:val="both"/>
              <w:rPr>
                <w:i/>
                <w:iCs/>
              </w:rPr>
            </w:pPr>
            <w:r w:rsidRPr="00C85AB6">
              <w:rPr>
                <w:i/>
                <w:iCs/>
              </w:rPr>
              <w:t>CSR – Interventi di manutenzione correttiva recidivi</w:t>
            </w:r>
          </w:p>
          <w:p w14:paraId="1C1554CD" w14:textId="1D254E33" w:rsidR="00C85AB6" w:rsidRDefault="00C85AB6" w:rsidP="00C85AB6">
            <w:pPr>
              <w:pStyle w:val="BodyText"/>
              <w:numPr>
                <w:ilvl w:val="0"/>
                <w:numId w:val="19"/>
              </w:numPr>
              <w:spacing w:before="87" w:line="259" w:lineRule="auto"/>
              <w:jc w:val="both"/>
              <w:rPr>
                <w:i/>
                <w:iCs/>
              </w:rPr>
            </w:pPr>
            <w:r w:rsidRPr="00C85AB6">
              <w:rPr>
                <w:i/>
                <w:iCs/>
              </w:rPr>
              <w:t>RMCO – Rilievi di Manutenzione Correttiva</w:t>
            </w:r>
          </w:p>
        </w:tc>
      </w:tr>
      <w:tr w:rsidR="00103060" w14:paraId="0AA0666C" w14:textId="77777777" w:rsidTr="00C85AB6">
        <w:tc>
          <w:tcPr>
            <w:tcW w:w="2689" w:type="dxa"/>
            <w:vAlign w:val="center"/>
          </w:tcPr>
          <w:p w14:paraId="0D6708FC" w14:textId="404AADAA" w:rsidR="00103060" w:rsidRPr="005C77BB" w:rsidRDefault="00C85AB6" w:rsidP="00C85AB6">
            <w:pPr>
              <w:pStyle w:val="BodyText"/>
              <w:spacing w:before="87" w:line="259" w:lineRule="auto"/>
              <w:rPr>
                <w:i/>
                <w:iCs/>
              </w:rPr>
            </w:pPr>
            <w:r w:rsidRPr="00C85AB6">
              <w:rPr>
                <w:i/>
                <w:iCs/>
              </w:rPr>
              <w:lastRenderedPageBreak/>
              <w:t>Servizi di Gestione del Portafoglio Applicativo</w:t>
            </w:r>
          </w:p>
        </w:tc>
        <w:tc>
          <w:tcPr>
            <w:tcW w:w="6694" w:type="dxa"/>
            <w:vAlign w:val="center"/>
          </w:tcPr>
          <w:p w14:paraId="357E8522" w14:textId="77777777" w:rsidR="00682DD3" w:rsidRDefault="00C85AB6" w:rsidP="00C85AB6">
            <w:pPr>
              <w:pStyle w:val="BodyText"/>
              <w:numPr>
                <w:ilvl w:val="0"/>
                <w:numId w:val="16"/>
              </w:numPr>
              <w:spacing w:before="87" w:line="259" w:lineRule="auto"/>
              <w:rPr>
                <w:i/>
                <w:iCs/>
              </w:rPr>
            </w:pPr>
            <w:r w:rsidRPr="00C85AB6">
              <w:rPr>
                <w:i/>
                <w:iCs/>
              </w:rPr>
              <w:t>DSGP – Disponibilità dei servizi di gestione del portafoglio applicativo</w:t>
            </w:r>
          </w:p>
          <w:p w14:paraId="4556C30D" w14:textId="77777777" w:rsidR="00C85AB6" w:rsidRDefault="00C85AB6" w:rsidP="00C85AB6">
            <w:pPr>
              <w:pStyle w:val="BodyText"/>
              <w:numPr>
                <w:ilvl w:val="0"/>
                <w:numId w:val="16"/>
              </w:numPr>
              <w:spacing w:before="87" w:line="259" w:lineRule="auto"/>
              <w:rPr>
                <w:i/>
                <w:iCs/>
              </w:rPr>
            </w:pPr>
            <w:r w:rsidRPr="00C85AB6">
              <w:rPr>
                <w:i/>
                <w:iCs/>
              </w:rPr>
              <w:t>RSCA – Rispetto di una scadenza dei servizi di gestione del Portafoglio</w:t>
            </w:r>
          </w:p>
          <w:p w14:paraId="603B392C" w14:textId="77777777" w:rsidR="00C85AB6" w:rsidRDefault="00C85AB6" w:rsidP="00C85AB6">
            <w:pPr>
              <w:pStyle w:val="BodyText"/>
              <w:numPr>
                <w:ilvl w:val="0"/>
                <w:numId w:val="16"/>
              </w:numPr>
              <w:spacing w:before="87" w:line="259" w:lineRule="auto"/>
              <w:rPr>
                <w:i/>
                <w:iCs/>
              </w:rPr>
            </w:pPr>
            <w:r w:rsidRPr="00C85AB6">
              <w:rPr>
                <w:i/>
                <w:iCs/>
              </w:rPr>
              <w:t>TRRA – Tempestività di risoluzione delle richieste di assistenza</w:t>
            </w:r>
          </w:p>
          <w:p w14:paraId="4D11CDC7" w14:textId="77777777" w:rsidR="00C85AB6" w:rsidRDefault="00C85AB6" w:rsidP="00C85AB6">
            <w:pPr>
              <w:pStyle w:val="BodyText"/>
              <w:numPr>
                <w:ilvl w:val="0"/>
                <w:numId w:val="16"/>
              </w:numPr>
              <w:spacing w:before="87" w:line="259" w:lineRule="auto"/>
              <w:rPr>
                <w:i/>
                <w:iCs/>
              </w:rPr>
            </w:pPr>
            <w:r w:rsidRPr="00C85AB6">
              <w:rPr>
                <w:i/>
                <w:iCs/>
              </w:rPr>
              <w:t>NRPR – Numero di ricicli su deliverables rilasciati</w:t>
            </w:r>
          </w:p>
          <w:p w14:paraId="44D06ADC" w14:textId="744E2CDC" w:rsidR="00C85AB6" w:rsidRPr="00C85AB6" w:rsidRDefault="00C85AB6" w:rsidP="00C85AB6">
            <w:pPr>
              <w:pStyle w:val="BodyText"/>
              <w:numPr>
                <w:ilvl w:val="0"/>
                <w:numId w:val="16"/>
              </w:numPr>
              <w:spacing w:before="87" w:line="259" w:lineRule="auto"/>
              <w:rPr>
                <w:i/>
                <w:iCs/>
              </w:rPr>
            </w:pPr>
            <w:r w:rsidRPr="00C85AB6">
              <w:rPr>
                <w:i/>
                <w:iCs/>
              </w:rPr>
              <w:t>RSGT – Rilievi sui servizi di gestione del Portafoglio applicativo</w:t>
            </w:r>
          </w:p>
        </w:tc>
      </w:tr>
      <w:tr w:rsidR="00103060" w14:paraId="5E8F31B5" w14:textId="77777777" w:rsidTr="00D36C9E">
        <w:tc>
          <w:tcPr>
            <w:tcW w:w="2689" w:type="dxa"/>
            <w:vAlign w:val="center"/>
          </w:tcPr>
          <w:p w14:paraId="5FA253D0" w14:textId="61E3D58E" w:rsidR="00103060" w:rsidRPr="005C77BB" w:rsidRDefault="00C85AB6" w:rsidP="00D36C9E">
            <w:pPr>
              <w:pStyle w:val="BodyText"/>
              <w:spacing w:before="87" w:line="259" w:lineRule="auto"/>
              <w:rPr>
                <w:i/>
                <w:iCs/>
              </w:rPr>
            </w:pPr>
            <w:r>
              <w:rPr>
                <w:i/>
                <w:iCs/>
              </w:rPr>
              <w:t>Servizio supporto specialistico</w:t>
            </w:r>
          </w:p>
        </w:tc>
        <w:tc>
          <w:tcPr>
            <w:tcW w:w="6694" w:type="dxa"/>
            <w:vAlign w:val="center"/>
          </w:tcPr>
          <w:p w14:paraId="27EB1448" w14:textId="77777777" w:rsidR="00682DD3" w:rsidRDefault="00C85AB6" w:rsidP="00C85AB6">
            <w:pPr>
              <w:pStyle w:val="BodyText"/>
              <w:numPr>
                <w:ilvl w:val="0"/>
                <w:numId w:val="18"/>
              </w:numPr>
              <w:spacing w:before="87" w:line="259" w:lineRule="auto"/>
              <w:rPr>
                <w:i/>
                <w:iCs/>
              </w:rPr>
            </w:pPr>
            <w:r w:rsidRPr="00C85AB6">
              <w:rPr>
                <w:i/>
                <w:iCs/>
              </w:rPr>
              <w:t>SPSS – Slittamento nella consegna di un prodotto e/o di un’attività del servizio di Supporto Specialistico</w:t>
            </w:r>
          </w:p>
          <w:p w14:paraId="5B348847" w14:textId="44035469" w:rsidR="00C85AB6" w:rsidRDefault="00C85AB6" w:rsidP="00C85AB6">
            <w:pPr>
              <w:pStyle w:val="BodyText"/>
              <w:numPr>
                <w:ilvl w:val="0"/>
                <w:numId w:val="18"/>
              </w:numPr>
              <w:spacing w:before="87" w:line="259" w:lineRule="auto"/>
              <w:rPr>
                <w:i/>
                <w:iCs/>
              </w:rPr>
            </w:pPr>
            <w:r w:rsidRPr="00C85AB6">
              <w:rPr>
                <w:i/>
                <w:iCs/>
              </w:rPr>
              <w:t>CSIS</w:t>
            </w:r>
            <w:r w:rsidR="00C35393" w:rsidRPr="00C85AB6">
              <w:rPr>
                <w:i/>
                <w:iCs/>
              </w:rPr>
              <w:t xml:space="preserve"> – </w:t>
            </w:r>
            <w:r w:rsidRPr="00C85AB6">
              <w:rPr>
                <w:i/>
                <w:iCs/>
              </w:rPr>
              <w:t xml:space="preserve">Customer </w:t>
            </w:r>
            <w:proofErr w:type="spellStart"/>
            <w:r w:rsidR="00F07BB9">
              <w:rPr>
                <w:i/>
                <w:iCs/>
              </w:rPr>
              <w:t>ef</w:t>
            </w:r>
            <w:r w:rsidRPr="00C85AB6">
              <w:rPr>
                <w:i/>
                <w:iCs/>
              </w:rPr>
              <w:t>fort</w:t>
            </w:r>
            <w:proofErr w:type="spellEnd"/>
            <w:r w:rsidRPr="00C85AB6">
              <w:rPr>
                <w:i/>
                <w:iCs/>
              </w:rPr>
              <w:t xml:space="preserve"> Score dell’intervento specialistico</w:t>
            </w:r>
          </w:p>
          <w:p w14:paraId="2FCF33A2" w14:textId="77777777" w:rsidR="00C85AB6" w:rsidRDefault="00C85AB6" w:rsidP="00C85AB6">
            <w:pPr>
              <w:pStyle w:val="BodyText"/>
              <w:numPr>
                <w:ilvl w:val="0"/>
                <w:numId w:val="18"/>
              </w:numPr>
              <w:spacing w:before="87" w:line="259" w:lineRule="auto"/>
              <w:rPr>
                <w:i/>
                <w:iCs/>
              </w:rPr>
            </w:pPr>
            <w:r w:rsidRPr="00C85AB6">
              <w:rPr>
                <w:i/>
                <w:iCs/>
              </w:rPr>
              <w:t>RSSP – Rilievi sui servizi di supporto specialistico</w:t>
            </w:r>
          </w:p>
          <w:p w14:paraId="07064175" w14:textId="77777777" w:rsidR="00C85AB6" w:rsidRDefault="00C85AB6" w:rsidP="00C85AB6">
            <w:pPr>
              <w:pStyle w:val="BodyText"/>
              <w:numPr>
                <w:ilvl w:val="0"/>
                <w:numId w:val="18"/>
              </w:numPr>
              <w:spacing w:before="87" w:line="259" w:lineRule="auto"/>
              <w:rPr>
                <w:i/>
                <w:iCs/>
              </w:rPr>
            </w:pPr>
            <w:r w:rsidRPr="00C85AB6">
              <w:rPr>
                <w:i/>
                <w:iCs/>
              </w:rPr>
              <w:t xml:space="preserve">SPQC – Slittamento nella consegna di un prodotto e/o di un’attività del servizio di Software Assurance, Compliance e </w:t>
            </w:r>
            <w:proofErr w:type="spellStart"/>
            <w:r w:rsidRPr="00C85AB6">
              <w:rPr>
                <w:i/>
                <w:iCs/>
              </w:rPr>
              <w:t>Measurement</w:t>
            </w:r>
            <w:proofErr w:type="spellEnd"/>
          </w:p>
          <w:p w14:paraId="79530AE9" w14:textId="77777777" w:rsidR="00C85AB6" w:rsidRDefault="00C85AB6" w:rsidP="00C85AB6">
            <w:pPr>
              <w:pStyle w:val="BodyText"/>
              <w:numPr>
                <w:ilvl w:val="0"/>
                <w:numId w:val="18"/>
              </w:numPr>
              <w:spacing w:before="87" w:line="259" w:lineRule="auto"/>
              <w:rPr>
                <w:i/>
                <w:iCs/>
              </w:rPr>
            </w:pPr>
            <w:r w:rsidRPr="00C85AB6">
              <w:rPr>
                <w:i/>
                <w:iCs/>
              </w:rPr>
              <w:t xml:space="preserve">CSQA - Customer </w:t>
            </w:r>
            <w:proofErr w:type="spellStart"/>
            <w:r w:rsidRPr="00C85AB6">
              <w:rPr>
                <w:i/>
                <w:iCs/>
              </w:rPr>
              <w:t>effort</w:t>
            </w:r>
            <w:proofErr w:type="spellEnd"/>
            <w:r w:rsidRPr="00C85AB6">
              <w:rPr>
                <w:i/>
                <w:iCs/>
              </w:rPr>
              <w:t xml:space="preserve"> Score dell’intervento di </w:t>
            </w:r>
            <w:proofErr w:type="spellStart"/>
            <w:r w:rsidRPr="00C85AB6">
              <w:rPr>
                <w:i/>
                <w:iCs/>
              </w:rPr>
              <w:t>quality</w:t>
            </w:r>
            <w:proofErr w:type="spellEnd"/>
            <w:r w:rsidRPr="00C85AB6">
              <w:rPr>
                <w:i/>
                <w:iCs/>
              </w:rPr>
              <w:t xml:space="preserve"> </w:t>
            </w:r>
            <w:proofErr w:type="spellStart"/>
            <w:r w:rsidRPr="00C85AB6">
              <w:rPr>
                <w:i/>
                <w:iCs/>
              </w:rPr>
              <w:t>assurance</w:t>
            </w:r>
            <w:proofErr w:type="spellEnd"/>
          </w:p>
          <w:p w14:paraId="16F56C18" w14:textId="77777777" w:rsidR="00C85AB6" w:rsidRDefault="00C85AB6" w:rsidP="00C85AB6">
            <w:pPr>
              <w:pStyle w:val="BodyText"/>
              <w:numPr>
                <w:ilvl w:val="0"/>
                <w:numId w:val="18"/>
              </w:numPr>
              <w:spacing w:before="87" w:line="259" w:lineRule="auto"/>
              <w:rPr>
                <w:i/>
                <w:iCs/>
              </w:rPr>
            </w:pPr>
            <w:r w:rsidRPr="00C85AB6">
              <w:rPr>
                <w:i/>
                <w:iCs/>
              </w:rPr>
              <w:t xml:space="preserve">RSQA – Rilievi sui Servizi Software Quality Assurance, Compliance e </w:t>
            </w:r>
            <w:proofErr w:type="spellStart"/>
            <w:r w:rsidRPr="00C85AB6">
              <w:rPr>
                <w:i/>
                <w:iCs/>
              </w:rPr>
              <w:t>Measurement</w:t>
            </w:r>
            <w:proofErr w:type="spellEnd"/>
          </w:p>
          <w:p w14:paraId="717632FE" w14:textId="7E26B297" w:rsidR="00C85AB6" w:rsidRPr="00C85AB6" w:rsidRDefault="00C85AB6" w:rsidP="00C85AB6">
            <w:pPr>
              <w:pStyle w:val="BodyText"/>
              <w:numPr>
                <w:ilvl w:val="0"/>
                <w:numId w:val="18"/>
              </w:numPr>
              <w:spacing w:before="87" w:line="259" w:lineRule="auto"/>
              <w:rPr>
                <w:i/>
                <w:iCs/>
              </w:rPr>
            </w:pPr>
            <w:r w:rsidRPr="00C85AB6">
              <w:rPr>
                <w:i/>
                <w:iCs/>
              </w:rPr>
              <w:t xml:space="preserve">RSCC – Rispetto di una scadenza dei servizi di sviluppo </w:t>
            </w:r>
            <w:proofErr w:type="gramStart"/>
            <w:r w:rsidRPr="00C85AB6">
              <w:rPr>
                <w:i/>
                <w:iCs/>
              </w:rPr>
              <w:t>e</w:t>
            </w:r>
            <w:proofErr w:type="gramEnd"/>
            <w:r w:rsidRPr="00C85AB6">
              <w:rPr>
                <w:i/>
                <w:iCs/>
              </w:rPr>
              <w:t xml:space="preserve"> evoluzione </w:t>
            </w:r>
            <w:proofErr w:type="spellStart"/>
            <w:r w:rsidRPr="00C85AB6">
              <w:rPr>
                <w:i/>
                <w:iCs/>
              </w:rPr>
              <w:t>sw</w:t>
            </w:r>
            <w:proofErr w:type="spellEnd"/>
            <w:r w:rsidRPr="00C85AB6">
              <w:rPr>
                <w:i/>
                <w:iCs/>
              </w:rPr>
              <w:t xml:space="preserve"> in co-working</w:t>
            </w:r>
          </w:p>
        </w:tc>
      </w:tr>
    </w:tbl>
    <w:p w14:paraId="14F1D3ED" w14:textId="77777777" w:rsidR="00B5555E" w:rsidRDefault="00B5555E" w:rsidP="005906E3">
      <w:pPr>
        <w:pStyle w:val="BodyText"/>
        <w:spacing w:before="87" w:line="259" w:lineRule="auto"/>
        <w:ind w:hanging="11"/>
        <w:jc w:val="both"/>
        <w:rPr>
          <w:i/>
          <w:iCs/>
        </w:rPr>
      </w:pPr>
    </w:p>
    <w:p w14:paraId="373FECEF" w14:textId="2FC299AA" w:rsidR="009F71F9" w:rsidRDefault="005C3279" w:rsidP="005906E3">
      <w:pPr>
        <w:pStyle w:val="BodyText"/>
        <w:spacing w:before="87" w:line="259" w:lineRule="auto"/>
        <w:ind w:hanging="11"/>
        <w:jc w:val="both"/>
        <w:rPr>
          <w:i/>
          <w:iCs/>
        </w:rPr>
      </w:pPr>
      <w:r>
        <w:rPr>
          <w:i/>
          <w:iCs/>
        </w:rPr>
        <w:t>Per ulteriori dettagli fare riferimento alla</w:t>
      </w:r>
      <w:r w:rsidR="009F71F9">
        <w:rPr>
          <w:i/>
          <w:iCs/>
        </w:rPr>
        <w:t xml:space="preserve"> tabella allegata.</w:t>
      </w:r>
    </w:p>
    <w:p w14:paraId="61701F2F" w14:textId="056E095E" w:rsidR="00EC428C" w:rsidRPr="003D5484" w:rsidRDefault="0013296B" w:rsidP="003D5484">
      <w:pPr>
        <w:pStyle w:val="BodyText"/>
        <w:spacing w:before="87" w:line="259" w:lineRule="auto"/>
        <w:ind w:hanging="11"/>
        <w:jc w:val="both"/>
        <w:rPr>
          <w:i/>
          <w:iCs/>
        </w:rPr>
      </w:pPr>
      <w:r>
        <w:rPr>
          <w:i/>
          <w:iCs/>
        </w:rPr>
        <w:object w:dxaOrig="1901" w:dyaOrig="1237" w14:anchorId="1EF34D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5.05pt;height:61.65pt" o:ole="">
            <v:imagedata r:id="rId13" o:title=""/>
          </v:shape>
          <o:OLEObject Type="Embed" ProgID="Excel.Sheet.12" ShapeID="_x0000_i1027" DrawAspect="Icon" ObjectID="_1788161126" r:id="rId14"/>
        </w:object>
      </w:r>
    </w:p>
    <w:p w14:paraId="74F076D9" w14:textId="77777777" w:rsidR="00F754FA" w:rsidRPr="00703853" w:rsidRDefault="00F754FA" w:rsidP="007C77A0">
      <w:pPr>
        <w:pStyle w:val="ListParagraph"/>
        <w:tabs>
          <w:tab w:val="left" w:pos="916"/>
        </w:tabs>
        <w:spacing w:before="62" w:after="60"/>
        <w:ind w:left="915" w:firstLine="0"/>
        <w:jc w:val="both"/>
        <w:rPr>
          <w:rFonts w:ascii="Calibri" w:hAnsi="Calibri" w:cs="Calibri"/>
          <w:b/>
        </w:rPr>
      </w:pPr>
    </w:p>
    <w:p w14:paraId="0CAB3127" w14:textId="77777777" w:rsidR="00897775" w:rsidRPr="00703853" w:rsidRDefault="002F7EE0" w:rsidP="0049704C">
      <w:pPr>
        <w:pStyle w:val="Heading1"/>
        <w:spacing w:before="60"/>
        <w:jc w:val="both"/>
      </w:pPr>
      <w:bookmarkStart w:id="11" w:name="_Toc161308495"/>
      <w:r w:rsidRPr="00703853">
        <w:t>STORIA</w:t>
      </w:r>
      <w:r w:rsidRPr="00703853">
        <w:rPr>
          <w:spacing w:val="-3"/>
        </w:rPr>
        <w:t xml:space="preserve"> </w:t>
      </w:r>
      <w:r w:rsidRPr="00703853">
        <w:t>DEL</w:t>
      </w:r>
      <w:r w:rsidRPr="00703853">
        <w:rPr>
          <w:spacing w:val="-1"/>
        </w:rPr>
        <w:t xml:space="preserve"> </w:t>
      </w:r>
      <w:r w:rsidRPr="00703853">
        <w:t>CONTRATTO</w:t>
      </w:r>
      <w:bookmarkEnd w:id="11"/>
    </w:p>
    <w:p w14:paraId="791446D4" w14:textId="639C75AD" w:rsidR="00062274" w:rsidRDefault="00E363D4" w:rsidP="0049704C">
      <w:pPr>
        <w:pStyle w:val="pf0"/>
        <w:spacing w:before="60" w:beforeAutospacing="0" w:after="0" w:afterAutospacing="0"/>
        <w:jc w:val="both"/>
        <w:rPr>
          <w:i/>
          <w:iCs/>
          <w:lang w:val="it-IT"/>
        </w:rPr>
      </w:pPr>
      <w:r w:rsidRPr="00E363D4">
        <w:rPr>
          <w:i/>
          <w:iCs/>
          <w:lang w:val="it-IT"/>
        </w:rPr>
        <w:t>Qu</w:t>
      </w:r>
      <w:r>
        <w:rPr>
          <w:i/>
          <w:iCs/>
          <w:lang w:val="it-IT"/>
        </w:rPr>
        <w:t>esta i</w:t>
      </w:r>
      <w:r w:rsidR="005C3279" w:rsidRPr="00087E49">
        <w:rPr>
          <w:i/>
          <w:iCs/>
          <w:lang w:val="it-IT"/>
        </w:rPr>
        <w:t>nformazione</w:t>
      </w:r>
      <w:r w:rsidR="009F71F9" w:rsidRPr="00087E49">
        <w:rPr>
          <w:i/>
          <w:iCs/>
          <w:lang w:val="it-IT"/>
        </w:rPr>
        <w:t xml:space="preserve"> sar</w:t>
      </w:r>
      <w:r w:rsidR="00BE1065" w:rsidRPr="00087E49">
        <w:rPr>
          <w:i/>
          <w:iCs/>
          <w:lang w:val="it-IT"/>
        </w:rPr>
        <w:t>à condivisa</w:t>
      </w:r>
      <w:r w:rsidR="009F71F9" w:rsidRPr="00087E49">
        <w:rPr>
          <w:i/>
          <w:iCs/>
          <w:lang w:val="it-IT"/>
        </w:rPr>
        <w:t xml:space="preserve"> nella </w:t>
      </w:r>
      <w:r>
        <w:rPr>
          <w:i/>
          <w:iCs/>
          <w:lang w:val="it-IT"/>
        </w:rPr>
        <w:t xml:space="preserve">prima </w:t>
      </w:r>
      <w:r w:rsidR="009F71F9" w:rsidRPr="00087E49">
        <w:rPr>
          <w:i/>
          <w:iCs/>
          <w:lang w:val="it-IT"/>
        </w:rPr>
        <w:t xml:space="preserve">nota </w:t>
      </w:r>
      <w:r>
        <w:rPr>
          <w:i/>
          <w:iCs/>
          <w:lang w:val="it-IT"/>
        </w:rPr>
        <w:t>utile dopo la conclusione del contratt</w:t>
      </w:r>
      <w:r w:rsidR="00A86EC4">
        <w:rPr>
          <w:i/>
          <w:iCs/>
          <w:lang w:val="it-IT"/>
        </w:rPr>
        <w:t>o.</w:t>
      </w:r>
    </w:p>
    <w:p w14:paraId="045B5733" w14:textId="77777777" w:rsidR="0049704C" w:rsidRPr="00087E49" w:rsidRDefault="0049704C" w:rsidP="0049704C">
      <w:pPr>
        <w:pStyle w:val="pf0"/>
        <w:spacing w:before="60" w:beforeAutospacing="0" w:after="0" w:afterAutospacing="0"/>
        <w:jc w:val="both"/>
        <w:rPr>
          <w:i/>
          <w:iCs/>
          <w:lang w:val="it-IT"/>
        </w:rPr>
      </w:pPr>
    </w:p>
    <w:p w14:paraId="6DFDFBDA" w14:textId="5059C9D8" w:rsidR="00EC428C" w:rsidRPr="001F73A0" w:rsidRDefault="002F7EE0" w:rsidP="0049704C">
      <w:pPr>
        <w:pStyle w:val="Heading1"/>
        <w:spacing w:before="60"/>
        <w:jc w:val="both"/>
      </w:pPr>
      <w:bookmarkStart w:id="12" w:name="_Toc161308496"/>
      <w:r w:rsidRPr="00703853">
        <w:t>RISULTATI</w:t>
      </w:r>
      <w:r w:rsidRPr="00703853">
        <w:rPr>
          <w:spacing w:val="-4"/>
        </w:rPr>
        <w:t xml:space="preserve"> </w:t>
      </w:r>
      <w:r w:rsidRPr="00703853">
        <w:t>OTTENUTI</w:t>
      </w:r>
      <w:bookmarkEnd w:id="12"/>
    </w:p>
    <w:p w14:paraId="7F3455C8" w14:textId="16999926" w:rsidR="0049704C" w:rsidRDefault="00BE1065" w:rsidP="0049704C">
      <w:pPr>
        <w:pStyle w:val="BodyText"/>
        <w:spacing w:before="60"/>
        <w:jc w:val="both"/>
        <w:rPr>
          <w:i/>
          <w:iCs/>
        </w:rPr>
      </w:pPr>
      <w:r w:rsidRPr="00087E49">
        <w:rPr>
          <w:i/>
          <w:iCs/>
        </w:rPr>
        <w:t>Queste informazioni</w:t>
      </w:r>
      <w:r w:rsidR="009F71F9" w:rsidRPr="00087E49">
        <w:rPr>
          <w:i/>
          <w:iCs/>
        </w:rPr>
        <w:t xml:space="preserve"> saranno </w:t>
      </w:r>
      <w:r w:rsidRPr="00087E49">
        <w:rPr>
          <w:i/>
          <w:iCs/>
        </w:rPr>
        <w:t>condivise</w:t>
      </w:r>
      <w:r w:rsidR="009F71F9" w:rsidRPr="00087E49">
        <w:rPr>
          <w:i/>
          <w:iCs/>
        </w:rPr>
        <w:t xml:space="preserve"> nella prima nota utile dopo </w:t>
      </w:r>
      <w:r w:rsidR="00E363D4">
        <w:rPr>
          <w:i/>
          <w:iCs/>
        </w:rPr>
        <w:t xml:space="preserve">la </w:t>
      </w:r>
      <w:r w:rsidR="009F71F9" w:rsidRPr="00087E49">
        <w:rPr>
          <w:i/>
          <w:iCs/>
        </w:rPr>
        <w:t>conclusione contratto</w:t>
      </w:r>
      <w:r w:rsidR="00531404">
        <w:rPr>
          <w:i/>
          <w:iCs/>
        </w:rPr>
        <w:t>.</w:t>
      </w:r>
    </w:p>
    <w:p w14:paraId="1D9517A8" w14:textId="77777777" w:rsidR="00405748" w:rsidRPr="00BF5F57" w:rsidRDefault="00405748" w:rsidP="0049704C">
      <w:pPr>
        <w:pStyle w:val="BodyText"/>
        <w:spacing w:before="60"/>
        <w:jc w:val="both"/>
        <w:rPr>
          <w:i/>
          <w:iCs/>
        </w:rPr>
      </w:pPr>
    </w:p>
    <w:p w14:paraId="10064360" w14:textId="77777777" w:rsidR="00897775" w:rsidRPr="00703853" w:rsidRDefault="002F7EE0" w:rsidP="0049704C">
      <w:pPr>
        <w:pStyle w:val="Heading1"/>
        <w:spacing w:before="60"/>
        <w:jc w:val="both"/>
      </w:pPr>
      <w:bookmarkStart w:id="13" w:name="_Toc161308497"/>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3"/>
    </w:p>
    <w:p w14:paraId="64B2212C" w14:textId="40BDE9B8" w:rsidR="009F71F9" w:rsidRDefault="009F71F9" w:rsidP="0049704C">
      <w:pPr>
        <w:pStyle w:val="BodyText"/>
        <w:spacing w:before="60"/>
        <w:jc w:val="both"/>
        <w:rPr>
          <w:i/>
          <w:iCs/>
        </w:rPr>
      </w:pPr>
      <w:r w:rsidRPr="00087E49">
        <w:rPr>
          <w:i/>
          <w:iCs/>
        </w:rPr>
        <w:t xml:space="preserve">Le evidenze saranno inviate nella prima nota utile dopo </w:t>
      </w:r>
      <w:r w:rsidR="00E363D4">
        <w:rPr>
          <w:i/>
          <w:iCs/>
        </w:rPr>
        <w:t xml:space="preserve">la </w:t>
      </w:r>
      <w:r w:rsidRPr="00087E49">
        <w:rPr>
          <w:i/>
          <w:iCs/>
        </w:rPr>
        <w:t>conclusione contratto</w:t>
      </w:r>
      <w:r w:rsidR="00646DB8">
        <w:rPr>
          <w:i/>
          <w:iCs/>
        </w:rPr>
        <w:t>.</w:t>
      </w:r>
    </w:p>
    <w:p w14:paraId="29D92FE8" w14:textId="20DD2343" w:rsidR="00897775" w:rsidRPr="00C26245" w:rsidRDefault="00897775" w:rsidP="005906E3">
      <w:pPr>
        <w:pStyle w:val="BodyText"/>
        <w:spacing w:before="125" w:line="259" w:lineRule="auto"/>
        <w:jc w:val="both"/>
        <w:rPr>
          <w:i/>
          <w:iCs/>
        </w:rPr>
      </w:pPr>
    </w:p>
    <w:sectPr w:rsidR="00897775" w:rsidRPr="00C26245" w:rsidSect="0095275B">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8395A" w14:textId="77777777" w:rsidR="00E713AD" w:rsidRDefault="00E713AD">
      <w:r>
        <w:separator/>
      </w:r>
    </w:p>
  </w:endnote>
  <w:endnote w:type="continuationSeparator" w:id="0">
    <w:p w14:paraId="58AF9BBF" w14:textId="77777777" w:rsidR="00E713AD" w:rsidRDefault="00E713AD">
      <w:r>
        <w:continuationSeparator/>
      </w:r>
    </w:p>
  </w:endnote>
  <w:endnote w:type="continuationNotice" w:id="1">
    <w:p w14:paraId="0F3AF5ED" w14:textId="77777777" w:rsidR="00E713AD" w:rsidRDefault="00E71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9F233" w14:textId="2C3E2251" w:rsidR="00002A9C" w:rsidRDefault="00002A9C">
    <w:pPr>
      <w:pStyle w:val="Footer"/>
    </w:pPr>
  </w:p>
  <w:p w14:paraId="2ADAA059" w14:textId="7314C797"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85F40" w14:textId="77777777" w:rsidR="00E713AD" w:rsidRDefault="00E713AD">
      <w:r>
        <w:separator/>
      </w:r>
    </w:p>
  </w:footnote>
  <w:footnote w:type="continuationSeparator" w:id="0">
    <w:p w14:paraId="6D070B5F" w14:textId="77777777" w:rsidR="00E713AD" w:rsidRDefault="00E713AD">
      <w:r>
        <w:continuationSeparator/>
      </w:r>
    </w:p>
  </w:footnote>
  <w:footnote w:type="continuationNotice" w:id="1">
    <w:p w14:paraId="7F59E74B" w14:textId="77777777" w:rsidR="00E713AD" w:rsidRDefault="00E713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D2073"/>
    <w:multiLevelType w:val="hybridMultilevel"/>
    <w:tmpl w:val="0DEA3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CF316C"/>
    <w:multiLevelType w:val="hybridMultilevel"/>
    <w:tmpl w:val="98AA5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B60B0D"/>
    <w:multiLevelType w:val="hybridMultilevel"/>
    <w:tmpl w:val="3C60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940785"/>
    <w:multiLevelType w:val="hybridMultilevel"/>
    <w:tmpl w:val="3C4CBC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FB42BB"/>
    <w:multiLevelType w:val="hybridMultilevel"/>
    <w:tmpl w:val="857A14E6"/>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5"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466329"/>
    <w:multiLevelType w:val="hybridMultilevel"/>
    <w:tmpl w:val="E28CD2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9B0EFD"/>
    <w:multiLevelType w:val="hybridMultilevel"/>
    <w:tmpl w:val="E8EEAE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CC4604"/>
    <w:multiLevelType w:val="hybridMultilevel"/>
    <w:tmpl w:val="B2A2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8162B3"/>
    <w:multiLevelType w:val="hybridMultilevel"/>
    <w:tmpl w:val="8676DB9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AF56C37"/>
    <w:multiLevelType w:val="hybridMultilevel"/>
    <w:tmpl w:val="673CE89A"/>
    <w:lvl w:ilvl="0" w:tplc="0410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1612D8E"/>
    <w:multiLevelType w:val="hybridMultilevel"/>
    <w:tmpl w:val="AAD67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3EF5198"/>
    <w:multiLevelType w:val="hybridMultilevel"/>
    <w:tmpl w:val="E1B0AA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EEF14FA"/>
    <w:multiLevelType w:val="hybridMultilevel"/>
    <w:tmpl w:val="F42C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B2A4845"/>
    <w:multiLevelType w:val="hybridMultilevel"/>
    <w:tmpl w:val="6C56AA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F8B5E11"/>
    <w:multiLevelType w:val="hybridMultilevel"/>
    <w:tmpl w:val="18A49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6213904">
    <w:abstractNumId w:val="14"/>
  </w:num>
  <w:num w:numId="2" w16cid:durableId="1995869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186214">
    <w:abstractNumId w:val="12"/>
  </w:num>
  <w:num w:numId="4" w16cid:durableId="860164453">
    <w:abstractNumId w:val="0"/>
  </w:num>
  <w:num w:numId="5" w16cid:durableId="999430676">
    <w:abstractNumId w:val="3"/>
  </w:num>
  <w:num w:numId="6" w16cid:durableId="1321814308">
    <w:abstractNumId w:val="7"/>
  </w:num>
  <w:num w:numId="7" w16cid:durableId="1945528922">
    <w:abstractNumId w:val="9"/>
  </w:num>
  <w:num w:numId="8" w16cid:durableId="696739290">
    <w:abstractNumId w:val="5"/>
  </w:num>
  <w:num w:numId="9" w16cid:durableId="649599394">
    <w:abstractNumId w:val="2"/>
  </w:num>
  <w:num w:numId="10" w16cid:durableId="2122874829">
    <w:abstractNumId w:val="8"/>
  </w:num>
  <w:num w:numId="11" w16cid:durableId="810710942">
    <w:abstractNumId w:val="6"/>
  </w:num>
  <w:num w:numId="12" w16cid:durableId="1129781550">
    <w:abstractNumId w:val="11"/>
  </w:num>
  <w:num w:numId="13" w16cid:durableId="263926947">
    <w:abstractNumId w:val="1"/>
  </w:num>
  <w:num w:numId="14" w16cid:durableId="1745911383">
    <w:abstractNumId w:val="4"/>
  </w:num>
  <w:num w:numId="15" w16cid:durableId="1933781546">
    <w:abstractNumId w:val="13"/>
  </w:num>
  <w:num w:numId="16" w16cid:durableId="932713385">
    <w:abstractNumId w:val="15"/>
  </w:num>
  <w:num w:numId="17" w16cid:durableId="1748991939">
    <w:abstractNumId w:val="10"/>
  </w:num>
  <w:num w:numId="18" w16cid:durableId="967049712">
    <w:abstractNumId w:val="16"/>
  </w:num>
  <w:num w:numId="19" w16cid:durableId="43366902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2A9C"/>
    <w:rsid w:val="00005C47"/>
    <w:rsid w:val="00005EC9"/>
    <w:rsid w:val="00010423"/>
    <w:rsid w:val="00017AFA"/>
    <w:rsid w:val="000268CC"/>
    <w:rsid w:val="00034C9F"/>
    <w:rsid w:val="0003693B"/>
    <w:rsid w:val="00044919"/>
    <w:rsid w:val="00055FCF"/>
    <w:rsid w:val="00062274"/>
    <w:rsid w:val="00063E60"/>
    <w:rsid w:val="00067272"/>
    <w:rsid w:val="000761AA"/>
    <w:rsid w:val="0007639A"/>
    <w:rsid w:val="00080207"/>
    <w:rsid w:val="000803F4"/>
    <w:rsid w:val="0008574B"/>
    <w:rsid w:val="00086381"/>
    <w:rsid w:val="00087E49"/>
    <w:rsid w:val="000922E8"/>
    <w:rsid w:val="00094024"/>
    <w:rsid w:val="000944A7"/>
    <w:rsid w:val="000964AB"/>
    <w:rsid w:val="000A0C87"/>
    <w:rsid w:val="000A2A3E"/>
    <w:rsid w:val="000A3432"/>
    <w:rsid w:val="000B17B1"/>
    <w:rsid w:val="000B74F7"/>
    <w:rsid w:val="000C006E"/>
    <w:rsid w:val="000D6DE7"/>
    <w:rsid w:val="000F2BE7"/>
    <w:rsid w:val="000F348D"/>
    <w:rsid w:val="000F44A5"/>
    <w:rsid w:val="000F53E8"/>
    <w:rsid w:val="000F6B5D"/>
    <w:rsid w:val="00103060"/>
    <w:rsid w:val="00104A92"/>
    <w:rsid w:val="001113B6"/>
    <w:rsid w:val="00113E1B"/>
    <w:rsid w:val="0013296B"/>
    <w:rsid w:val="00141F7C"/>
    <w:rsid w:val="00151DD9"/>
    <w:rsid w:val="00152AC0"/>
    <w:rsid w:val="00153EAC"/>
    <w:rsid w:val="001563A1"/>
    <w:rsid w:val="001603F6"/>
    <w:rsid w:val="001647B1"/>
    <w:rsid w:val="001660FE"/>
    <w:rsid w:val="00167C77"/>
    <w:rsid w:val="001732E2"/>
    <w:rsid w:val="00176C15"/>
    <w:rsid w:val="0018132D"/>
    <w:rsid w:val="001849CB"/>
    <w:rsid w:val="00185EA4"/>
    <w:rsid w:val="0019427F"/>
    <w:rsid w:val="00197B50"/>
    <w:rsid w:val="001A4495"/>
    <w:rsid w:val="001B1336"/>
    <w:rsid w:val="001B46AE"/>
    <w:rsid w:val="001B52B2"/>
    <w:rsid w:val="001C3FE7"/>
    <w:rsid w:val="001D6EF1"/>
    <w:rsid w:val="001E0DD9"/>
    <w:rsid w:val="001E4365"/>
    <w:rsid w:val="001F73A0"/>
    <w:rsid w:val="00201099"/>
    <w:rsid w:val="00214C3D"/>
    <w:rsid w:val="002178B4"/>
    <w:rsid w:val="00221707"/>
    <w:rsid w:val="00222769"/>
    <w:rsid w:val="00231339"/>
    <w:rsid w:val="002333FF"/>
    <w:rsid w:val="00244D42"/>
    <w:rsid w:val="00256FB5"/>
    <w:rsid w:val="00267886"/>
    <w:rsid w:val="002733F5"/>
    <w:rsid w:val="002801AC"/>
    <w:rsid w:val="0028041C"/>
    <w:rsid w:val="0028164C"/>
    <w:rsid w:val="00285E3A"/>
    <w:rsid w:val="0029222D"/>
    <w:rsid w:val="00292537"/>
    <w:rsid w:val="00292B4E"/>
    <w:rsid w:val="002938AA"/>
    <w:rsid w:val="0029530E"/>
    <w:rsid w:val="002A0B70"/>
    <w:rsid w:val="002A1295"/>
    <w:rsid w:val="002A4F38"/>
    <w:rsid w:val="002A6A1D"/>
    <w:rsid w:val="002A7761"/>
    <w:rsid w:val="002B1E76"/>
    <w:rsid w:val="002C1938"/>
    <w:rsid w:val="002C58D6"/>
    <w:rsid w:val="002D021F"/>
    <w:rsid w:val="002D354A"/>
    <w:rsid w:val="002D35A4"/>
    <w:rsid w:val="002D3881"/>
    <w:rsid w:val="002E6D77"/>
    <w:rsid w:val="002F0792"/>
    <w:rsid w:val="002F1777"/>
    <w:rsid w:val="002F7EE0"/>
    <w:rsid w:val="00303BFF"/>
    <w:rsid w:val="003071D0"/>
    <w:rsid w:val="00307C0B"/>
    <w:rsid w:val="00307E58"/>
    <w:rsid w:val="003135E2"/>
    <w:rsid w:val="003138D4"/>
    <w:rsid w:val="0031471E"/>
    <w:rsid w:val="00323368"/>
    <w:rsid w:val="003329D9"/>
    <w:rsid w:val="00337EF4"/>
    <w:rsid w:val="003407D9"/>
    <w:rsid w:val="00345742"/>
    <w:rsid w:val="00365737"/>
    <w:rsid w:val="003757EA"/>
    <w:rsid w:val="003773CB"/>
    <w:rsid w:val="00390C86"/>
    <w:rsid w:val="003B5F85"/>
    <w:rsid w:val="003C3D06"/>
    <w:rsid w:val="003C529E"/>
    <w:rsid w:val="003C6C23"/>
    <w:rsid w:val="003D3248"/>
    <w:rsid w:val="003D5484"/>
    <w:rsid w:val="003E08F2"/>
    <w:rsid w:val="003E225B"/>
    <w:rsid w:val="003E2F1D"/>
    <w:rsid w:val="00405748"/>
    <w:rsid w:val="00405C6F"/>
    <w:rsid w:val="00412B5B"/>
    <w:rsid w:val="00413B0E"/>
    <w:rsid w:val="00437166"/>
    <w:rsid w:val="0045056D"/>
    <w:rsid w:val="00454C0E"/>
    <w:rsid w:val="004553C8"/>
    <w:rsid w:val="00456F13"/>
    <w:rsid w:val="00460A82"/>
    <w:rsid w:val="00465E3B"/>
    <w:rsid w:val="004741BA"/>
    <w:rsid w:val="0049704C"/>
    <w:rsid w:val="004A13DA"/>
    <w:rsid w:val="004A39AD"/>
    <w:rsid w:val="004A464B"/>
    <w:rsid w:val="004D5286"/>
    <w:rsid w:val="004E2ED1"/>
    <w:rsid w:val="004E5841"/>
    <w:rsid w:val="004E7A0E"/>
    <w:rsid w:val="004F7DA5"/>
    <w:rsid w:val="005035AF"/>
    <w:rsid w:val="00505FF0"/>
    <w:rsid w:val="005175C0"/>
    <w:rsid w:val="005301F2"/>
    <w:rsid w:val="00531404"/>
    <w:rsid w:val="00562D9C"/>
    <w:rsid w:val="00566AB9"/>
    <w:rsid w:val="00572ABE"/>
    <w:rsid w:val="00585A57"/>
    <w:rsid w:val="00586FEE"/>
    <w:rsid w:val="0058732D"/>
    <w:rsid w:val="005878CA"/>
    <w:rsid w:val="005906E3"/>
    <w:rsid w:val="00593B70"/>
    <w:rsid w:val="00594801"/>
    <w:rsid w:val="005976B3"/>
    <w:rsid w:val="00597ABC"/>
    <w:rsid w:val="00597DD5"/>
    <w:rsid w:val="00597ED7"/>
    <w:rsid w:val="005B613A"/>
    <w:rsid w:val="005C3279"/>
    <w:rsid w:val="005C40FA"/>
    <w:rsid w:val="005C4C12"/>
    <w:rsid w:val="005C77BB"/>
    <w:rsid w:val="005E4F5F"/>
    <w:rsid w:val="005F3016"/>
    <w:rsid w:val="005F5034"/>
    <w:rsid w:val="005F54BE"/>
    <w:rsid w:val="00625714"/>
    <w:rsid w:val="00626106"/>
    <w:rsid w:val="00632AEE"/>
    <w:rsid w:val="0064551B"/>
    <w:rsid w:val="00646DB8"/>
    <w:rsid w:val="006529C4"/>
    <w:rsid w:val="00654913"/>
    <w:rsid w:val="006574CE"/>
    <w:rsid w:val="00660B36"/>
    <w:rsid w:val="00671554"/>
    <w:rsid w:val="00671D90"/>
    <w:rsid w:val="0067746F"/>
    <w:rsid w:val="00682DD3"/>
    <w:rsid w:val="00685DC5"/>
    <w:rsid w:val="00687E23"/>
    <w:rsid w:val="00692A06"/>
    <w:rsid w:val="00694A8F"/>
    <w:rsid w:val="006A437B"/>
    <w:rsid w:val="006A7347"/>
    <w:rsid w:val="006C0406"/>
    <w:rsid w:val="006C22E9"/>
    <w:rsid w:val="006C2F4E"/>
    <w:rsid w:val="006D5B66"/>
    <w:rsid w:val="006D64E9"/>
    <w:rsid w:val="006D6A53"/>
    <w:rsid w:val="00703581"/>
    <w:rsid w:val="00703853"/>
    <w:rsid w:val="00712188"/>
    <w:rsid w:val="007129A9"/>
    <w:rsid w:val="00713223"/>
    <w:rsid w:val="00716938"/>
    <w:rsid w:val="00720F1A"/>
    <w:rsid w:val="00735C36"/>
    <w:rsid w:val="00740744"/>
    <w:rsid w:val="00753F3F"/>
    <w:rsid w:val="007601DC"/>
    <w:rsid w:val="00767A8C"/>
    <w:rsid w:val="007849A2"/>
    <w:rsid w:val="007A25D7"/>
    <w:rsid w:val="007C059E"/>
    <w:rsid w:val="007C63A9"/>
    <w:rsid w:val="007C77A0"/>
    <w:rsid w:val="007D083A"/>
    <w:rsid w:val="007D4AAD"/>
    <w:rsid w:val="007D64BD"/>
    <w:rsid w:val="007D7367"/>
    <w:rsid w:val="007F1F7F"/>
    <w:rsid w:val="007F24F9"/>
    <w:rsid w:val="007F507B"/>
    <w:rsid w:val="007F5E8D"/>
    <w:rsid w:val="00804333"/>
    <w:rsid w:val="00804A7C"/>
    <w:rsid w:val="0081797E"/>
    <w:rsid w:val="00821833"/>
    <w:rsid w:val="00840253"/>
    <w:rsid w:val="00840403"/>
    <w:rsid w:val="008438A9"/>
    <w:rsid w:val="00845ADB"/>
    <w:rsid w:val="0084689D"/>
    <w:rsid w:val="00856D81"/>
    <w:rsid w:val="0086174D"/>
    <w:rsid w:val="008716A7"/>
    <w:rsid w:val="00876D9F"/>
    <w:rsid w:val="008842C3"/>
    <w:rsid w:val="0088794C"/>
    <w:rsid w:val="00887A3B"/>
    <w:rsid w:val="00891AA7"/>
    <w:rsid w:val="00897775"/>
    <w:rsid w:val="008A1934"/>
    <w:rsid w:val="008A2C53"/>
    <w:rsid w:val="008A6DA8"/>
    <w:rsid w:val="008B7023"/>
    <w:rsid w:val="008C0069"/>
    <w:rsid w:val="008C4FB8"/>
    <w:rsid w:val="008D5D49"/>
    <w:rsid w:val="008E51FD"/>
    <w:rsid w:val="008E75F9"/>
    <w:rsid w:val="008F2F0C"/>
    <w:rsid w:val="0091293F"/>
    <w:rsid w:val="00912BD0"/>
    <w:rsid w:val="009141ED"/>
    <w:rsid w:val="009236C0"/>
    <w:rsid w:val="009276E6"/>
    <w:rsid w:val="00930B6A"/>
    <w:rsid w:val="00945444"/>
    <w:rsid w:val="00945614"/>
    <w:rsid w:val="0095275B"/>
    <w:rsid w:val="00953C2B"/>
    <w:rsid w:val="009572D8"/>
    <w:rsid w:val="0096389B"/>
    <w:rsid w:val="0096672C"/>
    <w:rsid w:val="00966A90"/>
    <w:rsid w:val="00974C8E"/>
    <w:rsid w:val="00975A3F"/>
    <w:rsid w:val="00981488"/>
    <w:rsid w:val="00994ABE"/>
    <w:rsid w:val="009A74FA"/>
    <w:rsid w:val="009B1956"/>
    <w:rsid w:val="009B28DD"/>
    <w:rsid w:val="009B3E39"/>
    <w:rsid w:val="009B547D"/>
    <w:rsid w:val="009C3BCE"/>
    <w:rsid w:val="009D7770"/>
    <w:rsid w:val="009E05E1"/>
    <w:rsid w:val="009E4F8F"/>
    <w:rsid w:val="009F26C3"/>
    <w:rsid w:val="009F351E"/>
    <w:rsid w:val="009F71F9"/>
    <w:rsid w:val="00A035A2"/>
    <w:rsid w:val="00A03BA5"/>
    <w:rsid w:val="00A04510"/>
    <w:rsid w:val="00A12C1C"/>
    <w:rsid w:val="00A2096B"/>
    <w:rsid w:val="00A23C29"/>
    <w:rsid w:val="00A253E1"/>
    <w:rsid w:val="00A5475A"/>
    <w:rsid w:val="00A55EE3"/>
    <w:rsid w:val="00A57C82"/>
    <w:rsid w:val="00A6759F"/>
    <w:rsid w:val="00A829A3"/>
    <w:rsid w:val="00A84B87"/>
    <w:rsid w:val="00A86EC4"/>
    <w:rsid w:val="00A936B8"/>
    <w:rsid w:val="00AA2CD3"/>
    <w:rsid w:val="00AA5716"/>
    <w:rsid w:val="00AB3D00"/>
    <w:rsid w:val="00AB6DB3"/>
    <w:rsid w:val="00AD3AEC"/>
    <w:rsid w:val="00AD72F0"/>
    <w:rsid w:val="00AF50A2"/>
    <w:rsid w:val="00AF5F72"/>
    <w:rsid w:val="00AF7339"/>
    <w:rsid w:val="00B22C57"/>
    <w:rsid w:val="00B23830"/>
    <w:rsid w:val="00B25A04"/>
    <w:rsid w:val="00B32202"/>
    <w:rsid w:val="00B35FA1"/>
    <w:rsid w:val="00B506AD"/>
    <w:rsid w:val="00B51EE3"/>
    <w:rsid w:val="00B5555E"/>
    <w:rsid w:val="00B56ACB"/>
    <w:rsid w:val="00B61EF1"/>
    <w:rsid w:val="00B655ED"/>
    <w:rsid w:val="00B72D59"/>
    <w:rsid w:val="00B75CA7"/>
    <w:rsid w:val="00B9199C"/>
    <w:rsid w:val="00BA26D8"/>
    <w:rsid w:val="00BA39A9"/>
    <w:rsid w:val="00BB0A13"/>
    <w:rsid w:val="00BC2B05"/>
    <w:rsid w:val="00BC2E86"/>
    <w:rsid w:val="00BC3BC1"/>
    <w:rsid w:val="00BD2AC1"/>
    <w:rsid w:val="00BD35B8"/>
    <w:rsid w:val="00BE1065"/>
    <w:rsid w:val="00BE2028"/>
    <w:rsid w:val="00BE3D87"/>
    <w:rsid w:val="00BF5515"/>
    <w:rsid w:val="00BF5F57"/>
    <w:rsid w:val="00C02066"/>
    <w:rsid w:val="00C056FC"/>
    <w:rsid w:val="00C1408E"/>
    <w:rsid w:val="00C16793"/>
    <w:rsid w:val="00C26245"/>
    <w:rsid w:val="00C26381"/>
    <w:rsid w:val="00C300C4"/>
    <w:rsid w:val="00C33739"/>
    <w:rsid w:val="00C35393"/>
    <w:rsid w:val="00C365EB"/>
    <w:rsid w:val="00C42828"/>
    <w:rsid w:val="00C466EA"/>
    <w:rsid w:val="00C565DC"/>
    <w:rsid w:val="00C56FD0"/>
    <w:rsid w:val="00C6451F"/>
    <w:rsid w:val="00C65301"/>
    <w:rsid w:val="00C7059C"/>
    <w:rsid w:val="00C70F89"/>
    <w:rsid w:val="00C7104C"/>
    <w:rsid w:val="00C7272A"/>
    <w:rsid w:val="00C72D5E"/>
    <w:rsid w:val="00C72FAF"/>
    <w:rsid w:val="00C754F5"/>
    <w:rsid w:val="00C83672"/>
    <w:rsid w:val="00C85AB6"/>
    <w:rsid w:val="00C903BA"/>
    <w:rsid w:val="00C9357F"/>
    <w:rsid w:val="00CD1B18"/>
    <w:rsid w:val="00CD2EB6"/>
    <w:rsid w:val="00CD55C7"/>
    <w:rsid w:val="00CD6350"/>
    <w:rsid w:val="00CE17E0"/>
    <w:rsid w:val="00CE3CA5"/>
    <w:rsid w:val="00CE4836"/>
    <w:rsid w:val="00CE6ACC"/>
    <w:rsid w:val="00CF185B"/>
    <w:rsid w:val="00CF3669"/>
    <w:rsid w:val="00D05DC9"/>
    <w:rsid w:val="00D0757B"/>
    <w:rsid w:val="00D13F37"/>
    <w:rsid w:val="00D166C9"/>
    <w:rsid w:val="00D23848"/>
    <w:rsid w:val="00D25A0E"/>
    <w:rsid w:val="00D25B89"/>
    <w:rsid w:val="00D30804"/>
    <w:rsid w:val="00D36C9E"/>
    <w:rsid w:val="00D4755E"/>
    <w:rsid w:val="00D5128A"/>
    <w:rsid w:val="00D517AF"/>
    <w:rsid w:val="00D51CC5"/>
    <w:rsid w:val="00D5329B"/>
    <w:rsid w:val="00D5338F"/>
    <w:rsid w:val="00D578D1"/>
    <w:rsid w:val="00D7142A"/>
    <w:rsid w:val="00D83150"/>
    <w:rsid w:val="00DB3934"/>
    <w:rsid w:val="00DC4B94"/>
    <w:rsid w:val="00DC532C"/>
    <w:rsid w:val="00DD1F98"/>
    <w:rsid w:val="00DE7DDD"/>
    <w:rsid w:val="00DF6C40"/>
    <w:rsid w:val="00E00778"/>
    <w:rsid w:val="00E053B4"/>
    <w:rsid w:val="00E05FD1"/>
    <w:rsid w:val="00E078D0"/>
    <w:rsid w:val="00E07AD7"/>
    <w:rsid w:val="00E12063"/>
    <w:rsid w:val="00E1433D"/>
    <w:rsid w:val="00E15591"/>
    <w:rsid w:val="00E16405"/>
    <w:rsid w:val="00E251AF"/>
    <w:rsid w:val="00E27404"/>
    <w:rsid w:val="00E27F17"/>
    <w:rsid w:val="00E3053D"/>
    <w:rsid w:val="00E3309A"/>
    <w:rsid w:val="00E363D4"/>
    <w:rsid w:val="00E42F9C"/>
    <w:rsid w:val="00E442F0"/>
    <w:rsid w:val="00E44312"/>
    <w:rsid w:val="00E44898"/>
    <w:rsid w:val="00E52BC0"/>
    <w:rsid w:val="00E61106"/>
    <w:rsid w:val="00E713AD"/>
    <w:rsid w:val="00E7206B"/>
    <w:rsid w:val="00E72071"/>
    <w:rsid w:val="00E74866"/>
    <w:rsid w:val="00E948FE"/>
    <w:rsid w:val="00E9627E"/>
    <w:rsid w:val="00EA52FF"/>
    <w:rsid w:val="00EC055A"/>
    <w:rsid w:val="00EC428C"/>
    <w:rsid w:val="00EC7336"/>
    <w:rsid w:val="00ED66DC"/>
    <w:rsid w:val="00EE006E"/>
    <w:rsid w:val="00EF14C1"/>
    <w:rsid w:val="00F00516"/>
    <w:rsid w:val="00F041B2"/>
    <w:rsid w:val="00F04BDB"/>
    <w:rsid w:val="00F04F9F"/>
    <w:rsid w:val="00F0592A"/>
    <w:rsid w:val="00F07BB9"/>
    <w:rsid w:val="00F14A85"/>
    <w:rsid w:val="00F168F4"/>
    <w:rsid w:val="00F203A1"/>
    <w:rsid w:val="00F2092F"/>
    <w:rsid w:val="00F2591B"/>
    <w:rsid w:val="00F30558"/>
    <w:rsid w:val="00F37C1F"/>
    <w:rsid w:val="00F40F4E"/>
    <w:rsid w:val="00F43216"/>
    <w:rsid w:val="00F44BBA"/>
    <w:rsid w:val="00F5331B"/>
    <w:rsid w:val="00F53DF0"/>
    <w:rsid w:val="00F55CB0"/>
    <w:rsid w:val="00F60F5C"/>
    <w:rsid w:val="00F649E2"/>
    <w:rsid w:val="00F672E3"/>
    <w:rsid w:val="00F754FA"/>
    <w:rsid w:val="00F767C6"/>
    <w:rsid w:val="00F8194A"/>
    <w:rsid w:val="00F91F99"/>
    <w:rsid w:val="00F932B9"/>
    <w:rsid w:val="00F94988"/>
    <w:rsid w:val="00F94A78"/>
    <w:rsid w:val="00F96A28"/>
    <w:rsid w:val="00FA187F"/>
    <w:rsid w:val="00FA25AE"/>
    <w:rsid w:val="00FA437B"/>
    <w:rsid w:val="00FA4C56"/>
    <w:rsid w:val="00FA5B2C"/>
    <w:rsid w:val="00FB04BF"/>
    <w:rsid w:val="00FB1962"/>
    <w:rsid w:val="00FB6D71"/>
    <w:rsid w:val="00FC46A7"/>
    <w:rsid w:val="00FD13EA"/>
    <w:rsid w:val="00FD4C34"/>
    <w:rsid w:val="00FE4683"/>
    <w:rsid w:val="00FE5C44"/>
    <w:rsid w:val="00FF707D"/>
    <w:rsid w:val="0D0CF669"/>
    <w:rsid w:val="5C8F7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20C5F756-FFF5-4994-8823-4F7F338EA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character" w:styleId="UnresolvedMention">
    <w:name w:val="Unresolved Mention"/>
    <w:basedOn w:val="DefaultParagraphFont"/>
    <w:uiPriority w:val="99"/>
    <w:semiHidden/>
    <w:unhideWhenUsed/>
    <w:rsid w:val="003C3D06"/>
    <w:rPr>
      <w:color w:val="605E5C"/>
      <w:shd w:val="clear" w:color="auto" w:fill="E1DFDD"/>
    </w:rPr>
  </w:style>
  <w:style w:type="paragraph" w:styleId="Footer">
    <w:name w:val="footer"/>
    <w:basedOn w:val="Normal"/>
    <w:link w:val="FooterChar"/>
    <w:uiPriority w:val="99"/>
    <w:unhideWhenUsed/>
    <w:rsid w:val="00A035A2"/>
    <w:pPr>
      <w:tabs>
        <w:tab w:val="center" w:pos="4513"/>
        <w:tab w:val="right" w:pos="9026"/>
      </w:tabs>
    </w:pPr>
  </w:style>
  <w:style w:type="character" w:customStyle="1" w:styleId="FooterChar">
    <w:name w:val="Footer Char"/>
    <w:basedOn w:val="DefaultParagraphFont"/>
    <w:link w:val="Footer"/>
    <w:uiPriority w:val="99"/>
    <w:rsid w:val="00A035A2"/>
    <w:rPr>
      <w:rFonts w:ascii="Times New Roman" w:eastAsia="Times New Roman" w:hAnsi="Times New Roman" w:cs="Times New Roman"/>
      <w:lang w:val="it-IT"/>
    </w:rPr>
  </w:style>
  <w:style w:type="paragraph" w:styleId="NormalWeb">
    <w:name w:val="Normal (Web)"/>
    <w:basedOn w:val="Normal"/>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DefaultParagraphFont"/>
    <w:uiPriority w:val="1"/>
    <w:rsid w:val="5C8F7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457725479">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636034435">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41492941">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525902602">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783768470">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9d1aa21-fbc5-4f22-b0ed-bafbb80072fa">
      <UserInfo>
        <DisplayName>Orsetta Mazza</DisplayName>
        <AccountId>66</AccountId>
        <AccountType/>
      </UserInfo>
      <UserInfo>
        <DisplayName>Federica Cacciotti</DisplayName>
        <AccountId>215</AccountId>
        <AccountType/>
      </UserInfo>
    </SharedWithUsers>
  </documentManagement>
</p:properties>
</file>

<file path=customXml/itemProps1.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2.xml><?xml version="1.0" encoding="utf-8"?>
<ds:datastoreItem xmlns:ds="http://schemas.openxmlformats.org/officeDocument/2006/customXml" ds:itemID="{167D5E15-2CF6-4FA1-A2D6-B637AD555F01}"/>
</file>

<file path=customXml/itemProps3.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4.xml><?xml version="1.0" encoding="utf-8"?>
<ds:datastoreItem xmlns:ds="http://schemas.openxmlformats.org/officeDocument/2006/customXml" ds:itemID="{A2B39B36-7E96-414D-8344-2628D25E10ED}">
  <ds:schemaRefs>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http://purl.org/dc/dcmitype/"/>
    <ds:schemaRef ds:uri="c9d1aa21-fbc5-4f22-b0ed-bafbb80072fa"/>
    <ds:schemaRef ds:uri="http://schemas.openxmlformats.org/package/2006/metadata/core-properties"/>
    <ds:schemaRef ds:uri="9c7fe4a4-3acc-4647-9186-51d9a22ec576"/>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2025</Words>
  <Characters>11545</Characters>
  <Application>Microsoft Office Word</Application>
  <DocSecurity>0</DocSecurity>
  <Lines>96</Lines>
  <Paragraphs>27</Paragraphs>
  <ScaleCrop>false</ScaleCrop>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Daniele Gattuso</cp:lastModifiedBy>
  <cp:revision>5</cp:revision>
  <dcterms:created xsi:type="dcterms:W3CDTF">2023-07-28T10:23:00Z</dcterms:created>
  <dcterms:modified xsi:type="dcterms:W3CDTF">2024-09-18T08:39:00Z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